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9D80" w14:textId="77777777" w:rsidR="003F00C1" w:rsidRPr="00B56ADD" w:rsidRDefault="003F00C1" w:rsidP="003F00C1">
      <w:pPr>
        <w:pStyle w:val="Default"/>
        <w:rPr>
          <w:color w:val="auto"/>
        </w:rPr>
      </w:pPr>
    </w:p>
    <w:p w14:paraId="284EF3E5" w14:textId="50F2B503" w:rsidR="00A56FA7" w:rsidRPr="00557EBF" w:rsidRDefault="00557EBF" w:rsidP="00A56FA7">
      <w:pPr>
        <w:pStyle w:val="Default"/>
        <w:jc w:val="center"/>
        <w:rPr>
          <w:rFonts w:ascii="Industry Inc Base" w:hAnsi="Industry Inc Base"/>
          <w:color w:val="163C49"/>
          <w:sz w:val="32"/>
          <w:szCs w:val="32"/>
        </w:rPr>
      </w:pPr>
      <w:r>
        <w:rPr>
          <w:rFonts w:ascii="Industry Inc Base" w:hAnsi="Industry Inc Base"/>
          <w:color w:val="163C49"/>
          <w:sz w:val="32"/>
          <w:szCs w:val="32"/>
        </w:rPr>
        <w:t xml:space="preserve">2023-24 </w:t>
      </w:r>
      <w:r w:rsidR="000C0956" w:rsidRPr="00557EBF">
        <w:rPr>
          <w:rFonts w:ascii="Industry Inc Base" w:hAnsi="Industry Inc Base"/>
          <w:color w:val="163C49"/>
          <w:sz w:val="32"/>
          <w:szCs w:val="32"/>
        </w:rPr>
        <w:t>Alberta Curling Tour Points (</w:t>
      </w:r>
      <w:r>
        <w:rPr>
          <w:rFonts w:ascii="Industry Inc Base" w:hAnsi="Industry Inc Base"/>
          <w:color w:val="163C49"/>
          <w:sz w:val="32"/>
          <w:szCs w:val="32"/>
        </w:rPr>
        <w:t>u20, u18, &amp; u15</w:t>
      </w:r>
      <w:r w:rsidR="000C0956" w:rsidRPr="00557EBF">
        <w:rPr>
          <w:rFonts w:ascii="Industry Inc Base" w:hAnsi="Industry Inc Base"/>
          <w:color w:val="163C49"/>
          <w:sz w:val="32"/>
          <w:szCs w:val="32"/>
        </w:rPr>
        <w:t>)</w:t>
      </w:r>
    </w:p>
    <w:p w14:paraId="3159C6E0" w14:textId="74BB5655" w:rsidR="003F00C1" w:rsidRDefault="00A56FA7" w:rsidP="003F00C1">
      <w:pPr>
        <w:pStyle w:val="Default"/>
        <w:rPr>
          <w:color w:val="auto"/>
          <w:sz w:val="23"/>
          <w:szCs w:val="23"/>
        </w:rPr>
      </w:pPr>
      <w:r>
        <w:rPr>
          <w:color w:val="auto"/>
          <w:sz w:val="23"/>
          <w:szCs w:val="23"/>
        </w:rPr>
        <w:br/>
      </w:r>
      <w:r w:rsidR="003F00C1">
        <w:rPr>
          <w:color w:val="auto"/>
          <w:sz w:val="23"/>
          <w:szCs w:val="23"/>
        </w:rPr>
        <w:t xml:space="preserve">The Alberta </w:t>
      </w:r>
      <w:r w:rsidR="000C0956">
        <w:rPr>
          <w:color w:val="auto"/>
          <w:sz w:val="23"/>
          <w:szCs w:val="23"/>
        </w:rPr>
        <w:t xml:space="preserve">Curling Tour </w:t>
      </w:r>
      <w:r w:rsidR="007709EC">
        <w:rPr>
          <w:color w:val="auto"/>
          <w:sz w:val="23"/>
          <w:szCs w:val="23"/>
        </w:rPr>
        <w:t>has included the U-20, U-18, and U-15</w:t>
      </w:r>
      <w:r w:rsidR="003F00C1">
        <w:rPr>
          <w:color w:val="auto"/>
          <w:sz w:val="23"/>
          <w:szCs w:val="23"/>
        </w:rPr>
        <w:t xml:space="preserve"> </w:t>
      </w:r>
      <w:r w:rsidR="007709EC">
        <w:rPr>
          <w:color w:val="auto"/>
          <w:sz w:val="23"/>
          <w:szCs w:val="23"/>
        </w:rPr>
        <w:t>divisions for the 2023-24 season. The Alberta Curling Tour standings will</w:t>
      </w:r>
      <w:r w:rsidR="003F00C1">
        <w:rPr>
          <w:color w:val="auto"/>
          <w:sz w:val="23"/>
          <w:szCs w:val="23"/>
        </w:rPr>
        <w:t xml:space="preserve"> rank </w:t>
      </w:r>
      <w:r w:rsidR="003B18A0">
        <w:rPr>
          <w:color w:val="auto"/>
          <w:sz w:val="23"/>
          <w:szCs w:val="23"/>
        </w:rPr>
        <w:t>youth</w:t>
      </w:r>
      <w:r w:rsidR="003F00C1">
        <w:rPr>
          <w:color w:val="auto"/>
          <w:sz w:val="23"/>
          <w:szCs w:val="23"/>
        </w:rPr>
        <w:t xml:space="preserve"> teams based on their performance at </w:t>
      </w:r>
      <w:r w:rsidR="007709EC">
        <w:rPr>
          <w:color w:val="auto"/>
          <w:sz w:val="23"/>
          <w:szCs w:val="23"/>
        </w:rPr>
        <w:t>Alberta Curling Tour events</w:t>
      </w:r>
      <w:r w:rsidR="003F00C1">
        <w:rPr>
          <w:color w:val="auto"/>
          <w:sz w:val="23"/>
          <w:szCs w:val="23"/>
        </w:rPr>
        <w:t xml:space="preserve"> and </w:t>
      </w:r>
      <w:r w:rsidR="007709EC">
        <w:rPr>
          <w:color w:val="auto"/>
          <w:sz w:val="23"/>
          <w:szCs w:val="23"/>
        </w:rPr>
        <w:t xml:space="preserve">Curling Alberta Provincial Championships. This ranking will be used for the purpose of rewarding one U18 men’s, U18 women’s, U20 men’s, and U20 women’s team with a pre-qualifying berth to their Curling Alberta Provincial </w:t>
      </w:r>
      <w:r w:rsidR="003B18A0">
        <w:rPr>
          <w:color w:val="auto"/>
          <w:sz w:val="23"/>
          <w:szCs w:val="23"/>
        </w:rPr>
        <w:t>Championships and</w:t>
      </w:r>
      <w:r w:rsidR="007709EC">
        <w:rPr>
          <w:color w:val="auto"/>
          <w:sz w:val="23"/>
          <w:szCs w:val="23"/>
        </w:rPr>
        <w:t xml:space="preserve"> will be used to assist with seeding at each provincial championship.</w:t>
      </w:r>
    </w:p>
    <w:p w14:paraId="12E30E14" w14:textId="77777777" w:rsidR="000C0956" w:rsidRDefault="000C0956" w:rsidP="003F00C1">
      <w:pPr>
        <w:pStyle w:val="Default"/>
        <w:rPr>
          <w:color w:val="auto"/>
          <w:sz w:val="23"/>
          <w:szCs w:val="23"/>
        </w:rPr>
      </w:pPr>
    </w:p>
    <w:p w14:paraId="5C2F3D90" w14:textId="77777777" w:rsidR="003F00C1" w:rsidRPr="00557EBF" w:rsidRDefault="003F00C1" w:rsidP="003F00C1">
      <w:pPr>
        <w:pStyle w:val="Default"/>
        <w:rPr>
          <w:rFonts w:ascii="Industry Inc Base" w:hAnsi="Industry Inc Base"/>
          <w:color w:val="163C49"/>
          <w:sz w:val="28"/>
          <w:szCs w:val="28"/>
        </w:rPr>
      </w:pPr>
      <w:r w:rsidRPr="00557EBF">
        <w:rPr>
          <w:rFonts w:ascii="Industry Inc Base" w:hAnsi="Industry Inc Base"/>
          <w:color w:val="163C49"/>
          <w:sz w:val="28"/>
          <w:szCs w:val="28"/>
        </w:rPr>
        <w:t xml:space="preserve">Breakdown by Result </w:t>
      </w:r>
    </w:p>
    <w:p w14:paraId="7A6D6860" w14:textId="524A1725" w:rsidR="000C0956" w:rsidRDefault="000C0956" w:rsidP="003F00C1">
      <w:pPr>
        <w:pStyle w:val="Default"/>
        <w:rPr>
          <w:color w:val="auto"/>
          <w:sz w:val="23"/>
          <w:szCs w:val="23"/>
        </w:rPr>
      </w:pPr>
      <w:r>
        <w:rPr>
          <w:color w:val="auto"/>
          <w:sz w:val="23"/>
          <w:szCs w:val="23"/>
        </w:rPr>
        <w:t>Points breakdown by result is as follows:</w:t>
      </w:r>
    </w:p>
    <w:p w14:paraId="26A2FC88" w14:textId="77777777" w:rsidR="000C0956" w:rsidRDefault="000C0956" w:rsidP="003F00C1">
      <w:pPr>
        <w:pStyle w:val="Default"/>
        <w:rPr>
          <w:color w:val="auto"/>
          <w:sz w:val="28"/>
          <w:szCs w:val="28"/>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tblGrid>
      <w:tr w:rsidR="003F00C1" w14:paraId="7C2256DA" w14:textId="77777777" w:rsidTr="00A56FA7">
        <w:trPr>
          <w:trHeight w:val="120"/>
        </w:trPr>
        <w:tc>
          <w:tcPr>
            <w:tcW w:w="2093" w:type="dxa"/>
          </w:tcPr>
          <w:p w14:paraId="1B59B460" w14:textId="79FCD74F" w:rsidR="003F00C1" w:rsidRDefault="003F00C1">
            <w:pPr>
              <w:pStyle w:val="Default"/>
              <w:rPr>
                <w:sz w:val="23"/>
                <w:szCs w:val="23"/>
              </w:rPr>
            </w:pPr>
            <w:r>
              <w:rPr>
                <w:sz w:val="23"/>
                <w:szCs w:val="23"/>
              </w:rPr>
              <w:t xml:space="preserve">Champion </w:t>
            </w:r>
          </w:p>
        </w:tc>
        <w:tc>
          <w:tcPr>
            <w:tcW w:w="992" w:type="dxa"/>
          </w:tcPr>
          <w:p w14:paraId="5B699267" w14:textId="77777777" w:rsidR="003F00C1" w:rsidRDefault="003F00C1">
            <w:pPr>
              <w:pStyle w:val="Default"/>
              <w:rPr>
                <w:sz w:val="23"/>
                <w:szCs w:val="23"/>
              </w:rPr>
            </w:pPr>
            <w:r>
              <w:rPr>
                <w:sz w:val="23"/>
                <w:szCs w:val="23"/>
              </w:rPr>
              <w:t xml:space="preserve">100% </w:t>
            </w:r>
          </w:p>
        </w:tc>
      </w:tr>
      <w:tr w:rsidR="003F00C1" w14:paraId="699F355C" w14:textId="77777777" w:rsidTr="00A56FA7">
        <w:trPr>
          <w:trHeight w:val="120"/>
        </w:trPr>
        <w:tc>
          <w:tcPr>
            <w:tcW w:w="2093" w:type="dxa"/>
          </w:tcPr>
          <w:p w14:paraId="4C6AD671" w14:textId="77777777" w:rsidR="003F00C1" w:rsidRDefault="003F00C1">
            <w:pPr>
              <w:pStyle w:val="Default"/>
              <w:rPr>
                <w:sz w:val="23"/>
                <w:szCs w:val="23"/>
              </w:rPr>
            </w:pPr>
            <w:r>
              <w:rPr>
                <w:sz w:val="23"/>
                <w:szCs w:val="23"/>
              </w:rPr>
              <w:t xml:space="preserve">Finalist </w:t>
            </w:r>
          </w:p>
        </w:tc>
        <w:tc>
          <w:tcPr>
            <w:tcW w:w="992" w:type="dxa"/>
          </w:tcPr>
          <w:p w14:paraId="39B18099" w14:textId="77777777" w:rsidR="003F00C1" w:rsidRDefault="003F00C1">
            <w:pPr>
              <w:pStyle w:val="Default"/>
              <w:rPr>
                <w:sz w:val="23"/>
                <w:szCs w:val="23"/>
              </w:rPr>
            </w:pPr>
            <w:r>
              <w:rPr>
                <w:sz w:val="23"/>
                <w:szCs w:val="23"/>
              </w:rPr>
              <w:t xml:space="preserve">70% </w:t>
            </w:r>
          </w:p>
        </w:tc>
      </w:tr>
      <w:tr w:rsidR="003F00C1" w14:paraId="29427FD8" w14:textId="77777777" w:rsidTr="00A56FA7">
        <w:trPr>
          <w:trHeight w:val="120"/>
        </w:trPr>
        <w:tc>
          <w:tcPr>
            <w:tcW w:w="2093" w:type="dxa"/>
          </w:tcPr>
          <w:p w14:paraId="1BCF0B14" w14:textId="77777777" w:rsidR="003F00C1" w:rsidRDefault="003F00C1">
            <w:pPr>
              <w:pStyle w:val="Default"/>
              <w:rPr>
                <w:sz w:val="23"/>
                <w:szCs w:val="23"/>
              </w:rPr>
            </w:pPr>
            <w:r>
              <w:rPr>
                <w:sz w:val="23"/>
                <w:szCs w:val="23"/>
              </w:rPr>
              <w:t xml:space="preserve">Semifinalist </w:t>
            </w:r>
          </w:p>
        </w:tc>
        <w:tc>
          <w:tcPr>
            <w:tcW w:w="992" w:type="dxa"/>
          </w:tcPr>
          <w:p w14:paraId="70E8AD05" w14:textId="77777777" w:rsidR="003F00C1" w:rsidRDefault="003F00C1">
            <w:pPr>
              <w:pStyle w:val="Default"/>
              <w:rPr>
                <w:sz w:val="23"/>
                <w:szCs w:val="23"/>
              </w:rPr>
            </w:pPr>
            <w:r>
              <w:rPr>
                <w:sz w:val="23"/>
                <w:szCs w:val="23"/>
              </w:rPr>
              <w:t xml:space="preserve">50% </w:t>
            </w:r>
          </w:p>
        </w:tc>
      </w:tr>
      <w:tr w:rsidR="003F00C1" w14:paraId="2142469C" w14:textId="77777777" w:rsidTr="00A56FA7">
        <w:trPr>
          <w:trHeight w:val="120"/>
        </w:trPr>
        <w:tc>
          <w:tcPr>
            <w:tcW w:w="2093" w:type="dxa"/>
          </w:tcPr>
          <w:p w14:paraId="772F5203" w14:textId="77777777" w:rsidR="003F00C1" w:rsidRDefault="003F00C1">
            <w:pPr>
              <w:pStyle w:val="Default"/>
              <w:rPr>
                <w:sz w:val="23"/>
                <w:szCs w:val="23"/>
              </w:rPr>
            </w:pPr>
            <w:r>
              <w:rPr>
                <w:sz w:val="23"/>
                <w:szCs w:val="23"/>
              </w:rPr>
              <w:t xml:space="preserve">Quarterfinalist </w:t>
            </w:r>
          </w:p>
        </w:tc>
        <w:tc>
          <w:tcPr>
            <w:tcW w:w="992" w:type="dxa"/>
          </w:tcPr>
          <w:p w14:paraId="6D6A4768" w14:textId="77777777" w:rsidR="003F00C1" w:rsidRDefault="003F00C1">
            <w:pPr>
              <w:pStyle w:val="Default"/>
              <w:rPr>
                <w:sz w:val="23"/>
                <w:szCs w:val="23"/>
              </w:rPr>
            </w:pPr>
            <w:r>
              <w:rPr>
                <w:sz w:val="23"/>
                <w:szCs w:val="23"/>
              </w:rPr>
              <w:t xml:space="preserve">36% </w:t>
            </w:r>
          </w:p>
        </w:tc>
      </w:tr>
    </w:tbl>
    <w:p w14:paraId="51C22EC5" w14:textId="77777777" w:rsidR="003F00C1" w:rsidRDefault="003F00C1" w:rsidP="003F00C1">
      <w:pPr>
        <w:pStyle w:val="Default"/>
      </w:pPr>
    </w:p>
    <w:p w14:paraId="218921EC" w14:textId="6E190FA1" w:rsidR="003F00C1" w:rsidRDefault="003F00C1" w:rsidP="003F00C1">
      <w:pPr>
        <w:pStyle w:val="Default"/>
        <w:rPr>
          <w:i/>
          <w:iCs/>
          <w:sz w:val="14"/>
          <w:szCs w:val="14"/>
        </w:rPr>
      </w:pPr>
      <w:r>
        <w:t xml:space="preserve"> </w:t>
      </w:r>
      <w:r>
        <w:rPr>
          <w:i/>
          <w:iCs/>
          <w:sz w:val="22"/>
          <w:szCs w:val="22"/>
        </w:rPr>
        <w:t>*</w:t>
      </w:r>
      <w:r w:rsidR="003B18A0">
        <w:rPr>
          <w:i/>
          <w:iCs/>
          <w:sz w:val="22"/>
          <w:szCs w:val="22"/>
        </w:rPr>
        <w:t>If</w:t>
      </w:r>
      <w:r>
        <w:rPr>
          <w:i/>
          <w:iCs/>
          <w:sz w:val="22"/>
          <w:szCs w:val="22"/>
        </w:rPr>
        <w:t xml:space="preserve"> a third-place or bronze medal game is played, the team finishing in 3</w:t>
      </w:r>
      <w:r>
        <w:rPr>
          <w:i/>
          <w:iCs/>
          <w:sz w:val="14"/>
          <w:szCs w:val="14"/>
        </w:rPr>
        <w:t xml:space="preserve">rd </w:t>
      </w:r>
      <w:r>
        <w:rPr>
          <w:i/>
          <w:iCs/>
          <w:sz w:val="22"/>
          <w:szCs w:val="22"/>
        </w:rPr>
        <w:t xml:space="preserve">place will receive 56%, and the team finishing in </w:t>
      </w:r>
      <w:r w:rsidRPr="000C0956">
        <w:rPr>
          <w:i/>
          <w:iCs/>
          <w:sz w:val="22"/>
          <w:szCs w:val="22"/>
        </w:rPr>
        <w:t>4</w:t>
      </w:r>
      <w:r w:rsidRPr="000C0956">
        <w:rPr>
          <w:i/>
          <w:iCs/>
          <w:sz w:val="22"/>
          <w:szCs w:val="22"/>
          <w:vertAlign w:val="superscript"/>
        </w:rPr>
        <w:t>th</w:t>
      </w:r>
      <w:r w:rsidR="000C0956" w:rsidRPr="000C0956">
        <w:rPr>
          <w:i/>
          <w:iCs/>
          <w:sz w:val="22"/>
          <w:szCs w:val="22"/>
        </w:rPr>
        <w:t xml:space="preserve"> place will receive 50% of the Champion’s points</w:t>
      </w:r>
      <w:r w:rsidR="000C0956">
        <w:rPr>
          <w:i/>
          <w:iCs/>
          <w:sz w:val="14"/>
          <w:szCs w:val="14"/>
        </w:rPr>
        <w:t>.</w:t>
      </w:r>
    </w:p>
    <w:p w14:paraId="6081E727" w14:textId="77777777" w:rsidR="000C0956" w:rsidRDefault="000C0956" w:rsidP="003F00C1">
      <w:pPr>
        <w:pStyle w:val="Default"/>
        <w:rPr>
          <w:sz w:val="22"/>
          <w:szCs w:val="22"/>
        </w:rPr>
      </w:pPr>
    </w:p>
    <w:p w14:paraId="4F64E081" w14:textId="3095B986" w:rsidR="007709EC" w:rsidRDefault="006F492A" w:rsidP="003F00C1">
      <w:pPr>
        <w:pStyle w:val="Default"/>
        <w:rPr>
          <w:sz w:val="23"/>
          <w:szCs w:val="23"/>
        </w:rPr>
      </w:pPr>
      <w:r w:rsidRPr="00557EBF">
        <w:rPr>
          <w:rFonts w:ascii="Industry Inc Base" w:hAnsi="Industry Inc Base"/>
          <w:color w:val="9D844E"/>
          <w:sz w:val="28"/>
          <w:szCs w:val="28"/>
        </w:rPr>
        <w:t>NEW:</w:t>
      </w:r>
      <w:r w:rsidRPr="00557EBF">
        <w:rPr>
          <w:rFonts w:ascii="Industry Inc Base" w:hAnsi="Industry Inc Base"/>
          <w:color w:val="163C49"/>
          <w:sz w:val="28"/>
          <w:szCs w:val="28"/>
        </w:rPr>
        <w:t xml:space="preserve"> </w:t>
      </w:r>
      <w:r w:rsidR="003F00C1" w:rsidRPr="00557EBF">
        <w:rPr>
          <w:rFonts w:ascii="Industry Inc Base" w:hAnsi="Industry Inc Base"/>
          <w:color w:val="163C49"/>
          <w:sz w:val="28"/>
          <w:szCs w:val="28"/>
        </w:rPr>
        <w:t xml:space="preserve">Points per </w:t>
      </w:r>
      <w:r w:rsidRPr="00557EBF">
        <w:rPr>
          <w:rFonts w:ascii="Industry Inc Base" w:hAnsi="Industry Inc Base"/>
          <w:color w:val="163C49"/>
          <w:sz w:val="28"/>
          <w:szCs w:val="28"/>
        </w:rPr>
        <w:t>Division (No Tiering)</w:t>
      </w:r>
    </w:p>
    <w:p w14:paraId="16E6A6CE" w14:textId="77777777" w:rsidR="00CB3C98" w:rsidRDefault="003F00C1" w:rsidP="003F00C1">
      <w:pPr>
        <w:pStyle w:val="Default"/>
        <w:rPr>
          <w:sz w:val="23"/>
          <w:szCs w:val="23"/>
        </w:rPr>
      </w:pPr>
      <w:r>
        <w:rPr>
          <w:sz w:val="23"/>
          <w:szCs w:val="23"/>
        </w:rPr>
        <w:t>There are different points awarded based on the age category</w:t>
      </w:r>
      <w:r w:rsidR="006F492A">
        <w:rPr>
          <w:sz w:val="23"/>
          <w:szCs w:val="23"/>
        </w:rPr>
        <w:t xml:space="preserve"> and event</w:t>
      </w:r>
      <w:r>
        <w:rPr>
          <w:sz w:val="23"/>
          <w:szCs w:val="23"/>
        </w:rPr>
        <w:t xml:space="preserve">. Teams will be listed on the </w:t>
      </w:r>
      <w:r w:rsidR="006F492A">
        <w:rPr>
          <w:sz w:val="23"/>
          <w:szCs w:val="23"/>
        </w:rPr>
        <w:t>Alberta Curling Tour</w:t>
      </w:r>
      <w:r>
        <w:rPr>
          <w:sz w:val="23"/>
          <w:szCs w:val="23"/>
        </w:rPr>
        <w:t xml:space="preserve"> in every division that they earn points. For example, if a U18 team participates in a U20 event, their result will be listed on standings for both the U18 and U20 categories. However, if that same team plays in a U18 event, their result will only be listed on the U18 standings. </w:t>
      </w:r>
    </w:p>
    <w:p w14:paraId="0E229B8A" w14:textId="77777777" w:rsidR="00CB3C98" w:rsidRDefault="00CB3C98" w:rsidP="003F00C1">
      <w:pPr>
        <w:pStyle w:val="Default"/>
        <w:rPr>
          <w:sz w:val="23"/>
          <w:szCs w:val="23"/>
        </w:rPr>
      </w:pPr>
    </w:p>
    <w:p w14:paraId="4FCB3745" w14:textId="2999D8E5" w:rsidR="003F00C1" w:rsidRDefault="007709EC" w:rsidP="003F00C1">
      <w:pPr>
        <w:pStyle w:val="Default"/>
        <w:rPr>
          <w:sz w:val="23"/>
          <w:szCs w:val="23"/>
        </w:rPr>
      </w:pPr>
      <w:r w:rsidRPr="00CB3C98">
        <w:rPr>
          <w:b/>
          <w:bCs/>
          <w:sz w:val="23"/>
          <w:szCs w:val="23"/>
        </w:rPr>
        <w:t xml:space="preserve">To register your team for the Alberta Curling Tour, please follow this </w:t>
      </w:r>
      <w:hyperlink r:id="rId7" w:history="1">
        <w:r w:rsidRPr="00CB3C98">
          <w:rPr>
            <w:rStyle w:val="Hyperlink"/>
            <w:b/>
            <w:bCs/>
            <w:sz w:val="23"/>
            <w:szCs w:val="23"/>
          </w:rPr>
          <w:t>link</w:t>
        </w:r>
      </w:hyperlink>
      <w:r>
        <w:rPr>
          <w:sz w:val="23"/>
          <w:szCs w:val="23"/>
        </w:rPr>
        <w:t>.</w:t>
      </w:r>
    </w:p>
    <w:p w14:paraId="550C7C84" w14:textId="77777777" w:rsidR="007709EC" w:rsidRDefault="007709EC" w:rsidP="003F00C1">
      <w:pPr>
        <w:pStyle w:val="Default"/>
        <w:rPr>
          <w:sz w:val="23"/>
          <w:szCs w:val="23"/>
        </w:rPr>
      </w:pPr>
    </w:p>
    <w:p w14:paraId="4214387E" w14:textId="71D8279D" w:rsidR="003F00C1" w:rsidRDefault="003F00C1" w:rsidP="003F00C1">
      <w:pPr>
        <w:pStyle w:val="Default"/>
        <w:rPr>
          <w:sz w:val="23"/>
          <w:szCs w:val="23"/>
        </w:rPr>
      </w:pPr>
      <w:r>
        <w:rPr>
          <w:sz w:val="23"/>
          <w:szCs w:val="23"/>
        </w:rPr>
        <w:t xml:space="preserve">Placement points (Champion, Finalist </w:t>
      </w:r>
      <w:r w:rsidR="003B18A0">
        <w:rPr>
          <w:sz w:val="23"/>
          <w:szCs w:val="23"/>
        </w:rPr>
        <w:t>etc.</w:t>
      </w:r>
      <w:r>
        <w:rPr>
          <w:sz w:val="23"/>
          <w:szCs w:val="23"/>
        </w:rPr>
        <w:t>) will only be awarded to 50% of the number of teams in an event (</w:t>
      </w:r>
      <w:r w:rsidR="003B18A0">
        <w:rPr>
          <w:sz w:val="23"/>
          <w:szCs w:val="23"/>
        </w:rPr>
        <w:t>i.e.,</w:t>
      </w:r>
      <w:r>
        <w:rPr>
          <w:sz w:val="23"/>
          <w:szCs w:val="23"/>
        </w:rPr>
        <w:t xml:space="preserve"> a </w:t>
      </w:r>
      <w:r w:rsidR="003B18A0">
        <w:rPr>
          <w:sz w:val="23"/>
          <w:szCs w:val="23"/>
        </w:rPr>
        <w:t>12-team</w:t>
      </w:r>
      <w:r>
        <w:rPr>
          <w:sz w:val="23"/>
          <w:szCs w:val="23"/>
        </w:rPr>
        <w:t xml:space="preserve"> event should have 6 qualifier spots to playoffs, thus 6 teams will be awarded placement points). </w:t>
      </w:r>
      <w:r>
        <w:rPr>
          <w:i/>
          <w:iCs/>
          <w:sz w:val="23"/>
          <w:szCs w:val="23"/>
        </w:rPr>
        <w:t xml:space="preserve">If more teams qualify to the playoffs than positions available in the event, the value of points will be awarded based on the charts below and divided between the teams reaching the quarterfinals (or semifinals if applicable), OR points-per-win values, whichever is higher. </w:t>
      </w:r>
    </w:p>
    <w:p w14:paraId="50D4A6D1" w14:textId="27E5B97D" w:rsidR="009476F4" w:rsidRDefault="003F00C1" w:rsidP="003F00C1">
      <w:pPr>
        <w:rPr>
          <w:i/>
          <w:iCs/>
          <w:sz w:val="23"/>
          <w:szCs w:val="23"/>
        </w:rPr>
      </w:pPr>
      <w:r>
        <w:rPr>
          <w:i/>
          <w:iCs/>
          <w:sz w:val="23"/>
          <w:szCs w:val="23"/>
        </w:rPr>
        <w:t>Example: If 7 teams enter an event, there should only be 3 teams awarded Placement Points. However, if 4 teams qualify for the playoffs, the two semi-finalist teams will split the point value. This ensures that the event is worth the same number of points as it would with only 3 teams qualifying to the playoffs</w:t>
      </w:r>
      <w:r w:rsidR="007709EC">
        <w:rPr>
          <w:i/>
          <w:iCs/>
          <w:sz w:val="23"/>
          <w:szCs w:val="23"/>
        </w:rPr>
        <w:t>.</w:t>
      </w:r>
    </w:p>
    <w:p w14:paraId="7EAA1616" w14:textId="77777777" w:rsidR="00557EBF" w:rsidRDefault="00557EBF" w:rsidP="003F00C1">
      <w:pPr>
        <w:rPr>
          <w:i/>
          <w:iCs/>
          <w:sz w:val="23"/>
          <w:szCs w:val="23"/>
        </w:rPr>
      </w:pPr>
    </w:p>
    <w:p w14:paraId="57898C78" w14:textId="77777777" w:rsidR="009476F4" w:rsidRDefault="009476F4" w:rsidP="003F00C1">
      <w:pPr>
        <w:rPr>
          <w:i/>
          <w:iCs/>
          <w:sz w:val="23"/>
          <w:szCs w:val="23"/>
        </w:rPr>
      </w:pPr>
    </w:p>
    <w:p w14:paraId="2E9B7BDD" w14:textId="77777777" w:rsidR="00557EBF" w:rsidRDefault="00557EBF" w:rsidP="003F00C1">
      <w:pPr>
        <w:rPr>
          <w:i/>
          <w:iCs/>
          <w:sz w:val="23"/>
          <w:szCs w:val="23"/>
        </w:rPr>
      </w:pPr>
    </w:p>
    <w:p w14:paraId="702A59D3" w14:textId="2B240CC2" w:rsidR="00557EBF" w:rsidRPr="00557EBF" w:rsidRDefault="00557EBF" w:rsidP="00557EBF">
      <w:pPr>
        <w:pStyle w:val="Default"/>
        <w:rPr>
          <w:rFonts w:ascii="Industry Inc Base" w:hAnsi="Industry Inc Base"/>
          <w:color w:val="163C49"/>
          <w:sz w:val="28"/>
          <w:szCs w:val="28"/>
        </w:rPr>
      </w:pPr>
      <w:r w:rsidRPr="00557EBF">
        <w:rPr>
          <w:rFonts w:ascii="Industry Inc Base" w:hAnsi="Industry Inc Base"/>
          <w:color w:val="163C49"/>
          <w:sz w:val="28"/>
          <w:szCs w:val="28"/>
        </w:rPr>
        <w:t>Points per category</w:t>
      </w:r>
      <w:r>
        <w:rPr>
          <w:rFonts w:ascii="Industry Inc Base" w:hAnsi="Industry Inc Base"/>
          <w:color w:val="163C49"/>
          <w:sz w:val="28"/>
          <w:szCs w:val="28"/>
        </w:rPr>
        <w:t xml:space="preserve"> (U20, U18, U15)</w:t>
      </w:r>
    </w:p>
    <w:p w14:paraId="568C81B7" w14:textId="77777777" w:rsidR="00557EBF" w:rsidRDefault="00557EBF" w:rsidP="003F00C1">
      <w:pPr>
        <w:rPr>
          <w:i/>
          <w:iCs/>
          <w:sz w:val="23"/>
          <w:szCs w:val="23"/>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525"/>
        <w:gridCol w:w="2525"/>
        <w:gridCol w:w="2525"/>
      </w:tblGrid>
      <w:tr w:rsidR="00E30288" w14:paraId="4C86293F" w14:textId="623D5081" w:rsidTr="00557EBF">
        <w:trPr>
          <w:trHeight w:val="120"/>
        </w:trPr>
        <w:tc>
          <w:tcPr>
            <w:tcW w:w="2525" w:type="dxa"/>
          </w:tcPr>
          <w:p w14:paraId="2834C9E2" w14:textId="0EF31A1A" w:rsidR="00E30288" w:rsidRDefault="00E30288">
            <w:pPr>
              <w:pStyle w:val="Default"/>
              <w:rPr>
                <w:sz w:val="23"/>
                <w:szCs w:val="23"/>
              </w:rPr>
            </w:pPr>
            <w:r>
              <w:rPr>
                <w:b/>
                <w:bCs/>
                <w:sz w:val="23"/>
                <w:szCs w:val="23"/>
              </w:rPr>
              <w:t xml:space="preserve">Event Placement </w:t>
            </w:r>
          </w:p>
        </w:tc>
        <w:tc>
          <w:tcPr>
            <w:tcW w:w="2525" w:type="dxa"/>
          </w:tcPr>
          <w:p w14:paraId="0C31B082" w14:textId="1F9BF911" w:rsidR="00E30288" w:rsidRDefault="00E30288" w:rsidP="00557EBF">
            <w:pPr>
              <w:pStyle w:val="Default"/>
              <w:jc w:val="center"/>
              <w:rPr>
                <w:sz w:val="23"/>
                <w:szCs w:val="23"/>
              </w:rPr>
            </w:pPr>
            <w:r>
              <w:rPr>
                <w:b/>
                <w:bCs/>
                <w:sz w:val="23"/>
                <w:szCs w:val="23"/>
              </w:rPr>
              <w:t>U20 (1.5x)</w:t>
            </w:r>
          </w:p>
        </w:tc>
        <w:tc>
          <w:tcPr>
            <w:tcW w:w="2525" w:type="dxa"/>
          </w:tcPr>
          <w:p w14:paraId="694D10B0" w14:textId="7991C2BD" w:rsidR="00E30288" w:rsidRDefault="00E30288" w:rsidP="00557EBF">
            <w:pPr>
              <w:pStyle w:val="Default"/>
              <w:jc w:val="center"/>
              <w:rPr>
                <w:sz w:val="23"/>
                <w:szCs w:val="23"/>
              </w:rPr>
            </w:pPr>
            <w:r>
              <w:rPr>
                <w:b/>
                <w:bCs/>
                <w:sz w:val="23"/>
                <w:szCs w:val="23"/>
              </w:rPr>
              <w:t>U18 (1.0x)</w:t>
            </w:r>
          </w:p>
        </w:tc>
        <w:tc>
          <w:tcPr>
            <w:tcW w:w="2525" w:type="dxa"/>
          </w:tcPr>
          <w:p w14:paraId="65465015" w14:textId="508F2F2B" w:rsidR="00E30288" w:rsidRDefault="00E30288" w:rsidP="00557EBF">
            <w:pPr>
              <w:pStyle w:val="Default"/>
              <w:jc w:val="center"/>
              <w:rPr>
                <w:b/>
                <w:bCs/>
                <w:sz w:val="23"/>
                <w:szCs w:val="23"/>
              </w:rPr>
            </w:pPr>
            <w:r>
              <w:rPr>
                <w:b/>
                <w:bCs/>
                <w:sz w:val="23"/>
                <w:szCs w:val="23"/>
              </w:rPr>
              <w:t>U15 (0.</w:t>
            </w:r>
            <w:r w:rsidR="009A68DD">
              <w:rPr>
                <w:b/>
                <w:bCs/>
                <w:sz w:val="23"/>
                <w:szCs w:val="23"/>
              </w:rPr>
              <w:t>67</w:t>
            </w:r>
            <w:r>
              <w:rPr>
                <w:b/>
                <w:bCs/>
                <w:sz w:val="23"/>
                <w:szCs w:val="23"/>
              </w:rPr>
              <w:t>x)</w:t>
            </w:r>
          </w:p>
        </w:tc>
      </w:tr>
      <w:tr w:rsidR="00E30288" w14:paraId="2BF2B224" w14:textId="557B330F" w:rsidTr="00557EBF">
        <w:trPr>
          <w:trHeight w:val="120"/>
        </w:trPr>
        <w:tc>
          <w:tcPr>
            <w:tcW w:w="2525" w:type="dxa"/>
          </w:tcPr>
          <w:p w14:paraId="51E932A6" w14:textId="77777777" w:rsidR="00E30288" w:rsidRDefault="00E30288">
            <w:pPr>
              <w:pStyle w:val="Default"/>
              <w:rPr>
                <w:sz w:val="23"/>
                <w:szCs w:val="23"/>
              </w:rPr>
            </w:pPr>
            <w:r>
              <w:rPr>
                <w:sz w:val="23"/>
                <w:szCs w:val="23"/>
              </w:rPr>
              <w:t xml:space="preserve">Champion </w:t>
            </w:r>
          </w:p>
        </w:tc>
        <w:tc>
          <w:tcPr>
            <w:tcW w:w="2525" w:type="dxa"/>
          </w:tcPr>
          <w:p w14:paraId="7A48DF32" w14:textId="3F088B15" w:rsidR="00E30288" w:rsidRDefault="009A68DD" w:rsidP="00557EBF">
            <w:pPr>
              <w:pStyle w:val="Default"/>
              <w:jc w:val="center"/>
              <w:rPr>
                <w:sz w:val="23"/>
                <w:szCs w:val="23"/>
              </w:rPr>
            </w:pPr>
            <w:r>
              <w:rPr>
                <w:sz w:val="23"/>
                <w:szCs w:val="23"/>
              </w:rPr>
              <w:t>45</w:t>
            </w:r>
          </w:p>
        </w:tc>
        <w:tc>
          <w:tcPr>
            <w:tcW w:w="2525" w:type="dxa"/>
          </w:tcPr>
          <w:p w14:paraId="58A779A6" w14:textId="787B4642" w:rsidR="00E30288" w:rsidRDefault="009A68DD" w:rsidP="00557EBF">
            <w:pPr>
              <w:pStyle w:val="Default"/>
              <w:jc w:val="center"/>
              <w:rPr>
                <w:sz w:val="23"/>
                <w:szCs w:val="23"/>
              </w:rPr>
            </w:pPr>
            <w:r>
              <w:rPr>
                <w:sz w:val="23"/>
                <w:szCs w:val="23"/>
              </w:rPr>
              <w:t>30</w:t>
            </w:r>
          </w:p>
        </w:tc>
        <w:tc>
          <w:tcPr>
            <w:tcW w:w="2525" w:type="dxa"/>
          </w:tcPr>
          <w:p w14:paraId="7262A2D5" w14:textId="197BDD67" w:rsidR="00E30288" w:rsidRDefault="009A68DD" w:rsidP="00557EBF">
            <w:pPr>
              <w:pStyle w:val="Default"/>
              <w:jc w:val="center"/>
              <w:rPr>
                <w:sz w:val="23"/>
                <w:szCs w:val="23"/>
              </w:rPr>
            </w:pPr>
            <w:r>
              <w:rPr>
                <w:sz w:val="23"/>
                <w:szCs w:val="23"/>
              </w:rPr>
              <w:t>20</w:t>
            </w:r>
          </w:p>
        </w:tc>
      </w:tr>
      <w:tr w:rsidR="00E30288" w14:paraId="1E2ED5AB" w14:textId="4D0DC428" w:rsidTr="00557EBF">
        <w:trPr>
          <w:trHeight w:val="120"/>
        </w:trPr>
        <w:tc>
          <w:tcPr>
            <w:tcW w:w="2525" w:type="dxa"/>
          </w:tcPr>
          <w:p w14:paraId="18A8EAF1" w14:textId="77777777" w:rsidR="00E30288" w:rsidRDefault="00E30288">
            <w:pPr>
              <w:pStyle w:val="Default"/>
              <w:rPr>
                <w:sz w:val="23"/>
                <w:szCs w:val="23"/>
              </w:rPr>
            </w:pPr>
            <w:r>
              <w:rPr>
                <w:sz w:val="23"/>
                <w:szCs w:val="23"/>
              </w:rPr>
              <w:t xml:space="preserve">Finalist </w:t>
            </w:r>
          </w:p>
        </w:tc>
        <w:tc>
          <w:tcPr>
            <w:tcW w:w="2525" w:type="dxa"/>
          </w:tcPr>
          <w:p w14:paraId="2349ED8E" w14:textId="52DD298A" w:rsidR="00E30288" w:rsidRDefault="00E30288" w:rsidP="00557EBF">
            <w:pPr>
              <w:pStyle w:val="Default"/>
              <w:jc w:val="center"/>
              <w:rPr>
                <w:sz w:val="23"/>
                <w:szCs w:val="23"/>
              </w:rPr>
            </w:pPr>
            <w:r>
              <w:rPr>
                <w:sz w:val="23"/>
                <w:szCs w:val="23"/>
              </w:rPr>
              <w:t>31.5</w:t>
            </w:r>
          </w:p>
        </w:tc>
        <w:tc>
          <w:tcPr>
            <w:tcW w:w="2525" w:type="dxa"/>
          </w:tcPr>
          <w:p w14:paraId="662B176E" w14:textId="098F72D2" w:rsidR="00E30288" w:rsidRDefault="00E30288" w:rsidP="00557EBF">
            <w:pPr>
              <w:pStyle w:val="Default"/>
              <w:jc w:val="center"/>
              <w:rPr>
                <w:sz w:val="23"/>
                <w:szCs w:val="23"/>
              </w:rPr>
            </w:pPr>
            <w:r>
              <w:rPr>
                <w:sz w:val="23"/>
                <w:szCs w:val="23"/>
              </w:rPr>
              <w:t>21</w:t>
            </w:r>
          </w:p>
        </w:tc>
        <w:tc>
          <w:tcPr>
            <w:tcW w:w="2525" w:type="dxa"/>
          </w:tcPr>
          <w:p w14:paraId="242B1943" w14:textId="4E6D922D" w:rsidR="00E30288" w:rsidRDefault="009A68DD" w:rsidP="00557EBF">
            <w:pPr>
              <w:pStyle w:val="Default"/>
              <w:jc w:val="center"/>
              <w:rPr>
                <w:sz w:val="23"/>
                <w:szCs w:val="23"/>
              </w:rPr>
            </w:pPr>
            <w:r>
              <w:rPr>
                <w:sz w:val="23"/>
                <w:szCs w:val="23"/>
              </w:rPr>
              <w:t>14</w:t>
            </w:r>
          </w:p>
        </w:tc>
      </w:tr>
      <w:tr w:rsidR="00E30288" w14:paraId="02D30A9C" w14:textId="2474D3F1" w:rsidTr="00557EBF">
        <w:trPr>
          <w:trHeight w:val="120"/>
        </w:trPr>
        <w:tc>
          <w:tcPr>
            <w:tcW w:w="2525" w:type="dxa"/>
          </w:tcPr>
          <w:p w14:paraId="05C7BA85" w14:textId="77777777" w:rsidR="00E30288" w:rsidRDefault="00E30288">
            <w:pPr>
              <w:pStyle w:val="Default"/>
              <w:rPr>
                <w:sz w:val="23"/>
                <w:szCs w:val="23"/>
              </w:rPr>
            </w:pPr>
            <w:r>
              <w:rPr>
                <w:sz w:val="23"/>
                <w:szCs w:val="23"/>
              </w:rPr>
              <w:t xml:space="preserve">Semifinalist </w:t>
            </w:r>
          </w:p>
        </w:tc>
        <w:tc>
          <w:tcPr>
            <w:tcW w:w="2525" w:type="dxa"/>
          </w:tcPr>
          <w:p w14:paraId="5A4B3909" w14:textId="5F34940A" w:rsidR="00E30288" w:rsidRDefault="00E30288" w:rsidP="00557EBF">
            <w:pPr>
              <w:pStyle w:val="Default"/>
              <w:jc w:val="center"/>
              <w:rPr>
                <w:sz w:val="23"/>
                <w:szCs w:val="23"/>
              </w:rPr>
            </w:pPr>
            <w:r>
              <w:rPr>
                <w:sz w:val="23"/>
                <w:szCs w:val="23"/>
              </w:rPr>
              <w:t>22.5</w:t>
            </w:r>
          </w:p>
        </w:tc>
        <w:tc>
          <w:tcPr>
            <w:tcW w:w="2525" w:type="dxa"/>
          </w:tcPr>
          <w:p w14:paraId="12D7FB5E" w14:textId="7F2034D9" w:rsidR="00E30288" w:rsidRDefault="00E30288" w:rsidP="00557EBF">
            <w:pPr>
              <w:pStyle w:val="Default"/>
              <w:jc w:val="center"/>
              <w:rPr>
                <w:sz w:val="23"/>
                <w:szCs w:val="23"/>
              </w:rPr>
            </w:pPr>
            <w:r>
              <w:rPr>
                <w:sz w:val="23"/>
                <w:szCs w:val="23"/>
              </w:rPr>
              <w:t>15</w:t>
            </w:r>
          </w:p>
        </w:tc>
        <w:tc>
          <w:tcPr>
            <w:tcW w:w="2525" w:type="dxa"/>
          </w:tcPr>
          <w:p w14:paraId="30F38BA9" w14:textId="3EA2937C" w:rsidR="00E30288" w:rsidRDefault="009A68DD" w:rsidP="00557EBF">
            <w:pPr>
              <w:pStyle w:val="Default"/>
              <w:jc w:val="center"/>
              <w:rPr>
                <w:sz w:val="23"/>
                <w:szCs w:val="23"/>
              </w:rPr>
            </w:pPr>
            <w:r>
              <w:rPr>
                <w:sz w:val="23"/>
                <w:szCs w:val="23"/>
              </w:rPr>
              <w:t>10</w:t>
            </w:r>
          </w:p>
        </w:tc>
      </w:tr>
      <w:tr w:rsidR="00E30288" w14:paraId="6ED60A2D" w14:textId="0A419456" w:rsidTr="00557EBF">
        <w:trPr>
          <w:trHeight w:val="120"/>
        </w:trPr>
        <w:tc>
          <w:tcPr>
            <w:tcW w:w="2525" w:type="dxa"/>
          </w:tcPr>
          <w:p w14:paraId="754AC4C1" w14:textId="77777777" w:rsidR="00E30288" w:rsidRDefault="00E30288">
            <w:pPr>
              <w:pStyle w:val="Default"/>
              <w:rPr>
                <w:sz w:val="23"/>
                <w:szCs w:val="23"/>
              </w:rPr>
            </w:pPr>
            <w:r>
              <w:rPr>
                <w:sz w:val="23"/>
                <w:szCs w:val="23"/>
              </w:rPr>
              <w:t xml:space="preserve">Quarterfinalist </w:t>
            </w:r>
          </w:p>
        </w:tc>
        <w:tc>
          <w:tcPr>
            <w:tcW w:w="2525" w:type="dxa"/>
          </w:tcPr>
          <w:p w14:paraId="506B2842" w14:textId="11985448" w:rsidR="00E30288" w:rsidRDefault="00E30288" w:rsidP="00557EBF">
            <w:pPr>
              <w:pStyle w:val="Default"/>
              <w:jc w:val="center"/>
              <w:rPr>
                <w:sz w:val="23"/>
                <w:szCs w:val="23"/>
              </w:rPr>
            </w:pPr>
            <w:r>
              <w:rPr>
                <w:sz w:val="23"/>
                <w:szCs w:val="23"/>
              </w:rPr>
              <w:t>16.2</w:t>
            </w:r>
          </w:p>
        </w:tc>
        <w:tc>
          <w:tcPr>
            <w:tcW w:w="2525" w:type="dxa"/>
          </w:tcPr>
          <w:p w14:paraId="39F45E65" w14:textId="1BE613EB" w:rsidR="00E30288" w:rsidRDefault="00E30288" w:rsidP="00557EBF">
            <w:pPr>
              <w:pStyle w:val="Default"/>
              <w:jc w:val="center"/>
              <w:rPr>
                <w:sz w:val="23"/>
                <w:szCs w:val="23"/>
              </w:rPr>
            </w:pPr>
            <w:r>
              <w:rPr>
                <w:sz w:val="23"/>
                <w:szCs w:val="23"/>
              </w:rPr>
              <w:t>10.8</w:t>
            </w:r>
          </w:p>
        </w:tc>
        <w:tc>
          <w:tcPr>
            <w:tcW w:w="2525" w:type="dxa"/>
          </w:tcPr>
          <w:p w14:paraId="10E454BA" w14:textId="0F857D21" w:rsidR="00E30288" w:rsidRDefault="009A68DD" w:rsidP="00557EBF">
            <w:pPr>
              <w:pStyle w:val="Default"/>
              <w:jc w:val="center"/>
              <w:rPr>
                <w:sz w:val="23"/>
                <w:szCs w:val="23"/>
              </w:rPr>
            </w:pPr>
            <w:r>
              <w:rPr>
                <w:sz w:val="23"/>
                <w:szCs w:val="23"/>
              </w:rPr>
              <w:t>7.2</w:t>
            </w:r>
          </w:p>
        </w:tc>
      </w:tr>
      <w:tr w:rsidR="00E30288" w14:paraId="1E2036B3" w14:textId="229320DD" w:rsidTr="00557EBF">
        <w:trPr>
          <w:trHeight w:val="120"/>
        </w:trPr>
        <w:tc>
          <w:tcPr>
            <w:tcW w:w="2525" w:type="dxa"/>
          </w:tcPr>
          <w:p w14:paraId="2451571C" w14:textId="77777777" w:rsidR="00E30288" w:rsidRDefault="00E30288">
            <w:pPr>
              <w:pStyle w:val="Default"/>
              <w:rPr>
                <w:sz w:val="23"/>
                <w:szCs w:val="23"/>
              </w:rPr>
            </w:pPr>
            <w:r>
              <w:rPr>
                <w:sz w:val="23"/>
                <w:szCs w:val="23"/>
              </w:rPr>
              <w:t xml:space="preserve">Points per Win </w:t>
            </w:r>
          </w:p>
        </w:tc>
        <w:tc>
          <w:tcPr>
            <w:tcW w:w="2525" w:type="dxa"/>
          </w:tcPr>
          <w:p w14:paraId="5F87A343" w14:textId="6A48C6ED" w:rsidR="00E30288" w:rsidRDefault="009A68DD" w:rsidP="00557EBF">
            <w:pPr>
              <w:pStyle w:val="Default"/>
              <w:jc w:val="center"/>
              <w:rPr>
                <w:sz w:val="23"/>
                <w:szCs w:val="23"/>
              </w:rPr>
            </w:pPr>
            <w:r>
              <w:rPr>
                <w:sz w:val="23"/>
                <w:szCs w:val="23"/>
              </w:rPr>
              <w:t>3</w:t>
            </w:r>
          </w:p>
        </w:tc>
        <w:tc>
          <w:tcPr>
            <w:tcW w:w="2525" w:type="dxa"/>
          </w:tcPr>
          <w:p w14:paraId="718F363A" w14:textId="77368110" w:rsidR="00E30288" w:rsidRDefault="009A68DD" w:rsidP="00557EBF">
            <w:pPr>
              <w:pStyle w:val="Default"/>
              <w:jc w:val="center"/>
              <w:rPr>
                <w:sz w:val="23"/>
                <w:szCs w:val="23"/>
              </w:rPr>
            </w:pPr>
            <w:r>
              <w:rPr>
                <w:sz w:val="23"/>
                <w:szCs w:val="23"/>
              </w:rPr>
              <w:t>2</w:t>
            </w:r>
          </w:p>
        </w:tc>
        <w:tc>
          <w:tcPr>
            <w:tcW w:w="2525" w:type="dxa"/>
          </w:tcPr>
          <w:p w14:paraId="01608818" w14:textId="617F79FD" w:rsidR="00E30288" w:rsidRDefault="009A68DD" w:rsidP="00557EBF">
            <w:pPr>
              <w:pStyle w:val="Default"/>
              <w:jc w:val="center"/>
              <w:rPr>
                <w:sz w:val="23"/>
                <w:szCs w:val="23"/>
              </w:rPr>
            </w:pPr>
            <w:r>
              <w:rPr>
                <w:sz w:val="23"/>
                <w:szCs w:val="23"/>
              </w:rPr>
              <w:t>1.33</w:t>
            </w:r>
          </w:p>
        </w:tc>
      </w:tr>
    </w:tbl>
    <w:p w14:paraId="1697ED3B" w14:textId="77777777" w:rsidR="00E30288" w:rsidRDefault="00E30288" w:rsidP="009476F4">
      <w:pPr>
        <w:pStyle w:val="Default"/>
        <w:rPr>
          <w:b/>
          <w:bCs/>
          <w:sz w:val="28"/>
          <w:szCs w:val="28"/>
        </w:rPr>
      </w:pPr>
    </w:p>
    <w:p w14:paraId="1C3A44B0" w14:textId="5103B733" w:rsidR="009476F4" w:rsidRPr="00557EBF" w:rsidRDefault="009476F4" w:rsidP="009476F4">
      <w:pPr>
        <w:pStyle w:val="Default"/>
        <w:rPr>
          <w:rFonts w:ascii="Industry Inc Base" w:hAnsi="Industry Inc Base"/>
          <w:color w:val="163C49"/>
          <w:sz w:val="28"/>
          <w:szCs w:val="28"/>
        </w:rPr>
      </w:pPr>
      <w:r w:rsidRPr="00557EBF">
        <w:rPr>
          <w:rFonts w:ascii="Industry Inc Base" w:hAnsi="Industry Inc Base"/>
          <w:color w:val="163C49"/>
          <w:sz w:val="28"/>
          <w:szCs w:val="28"/>
        </w:rPr>
        <w:t xml:space="preserve">World Curling Tour (WCT) Events </w:t>
      </w:r>
    </w:p>
    <w:p w14:paraId="0269D7E7" w14:textId="43295B87" w:rsidR="009476F4" w:rsidRDefault="009476F4" w:rsidP="009476F4">
      <w:pPr>
        <w:pStyle w:val="Default"/>
        <w:rPr>
          <w:sz w:val="23"/>
          <w:szCs w:val="23"/>
        </w:rPr>
      </w:pPr>
      <w:r>
        <w:rPr>
          <w:sz w:val="23"/>
          <w:szCs w:val="23"/>
        </w:rPr>
        <w:t xml:space="preserve">World Curling Tour Events will be divided into two tiers based on the strength of field multiplier (SFM) as determined by the WCT. If an event meets or exceeds a SFM threshold of </w:t>
      </w:r>
      <w:r>
        <w:rPr>
          <w:b/>
          <w:bCs/>
          <w:sz w:val="23"/>
          <w:szCs w:val="23"/>
        </w:rPr>
        <w:t>5.0</w:t>
      </w:r>
      <w:r>
        <w:rPr>
          <w:sz w:val="23"/>
          <w:szCs w:val="23"/>
        </w:rPr>
        <w:t xml:space="preserve">, the </w:t>
      </w:r>
      <w:r w:rsidR="007709EC">
        <w:rPr>
          <w:sz w:val="23"/>
          <w:szCs w:val="23"/>
        </w:rPr>
        <w:t>event will be classified as Tier 1 WCT. If not, the event will be classified as Tier 2 WCT. Alberta Curling Tour (ACT) events qualify as World Curling Tour (WCT) events.</w:t>
      </w:r>
    </w:p>
    <w:p w14:paraId="088A5E80" w14:textId="77777777" w:rsidR="007709EC" w:rsidRDefault="007709EC" w:rsidP="009476F4">
      <w:pPr>
        <w:pStyle w:val="Default"/>
        <w:rPr>
          <w:sz w:val="23"/>
          <w:szCs w:val="23"/>
        </w:rPr>
      </w:pPr>
    </w:p>
    <w:p w14:paraId="2FDD8BFE" w14:textId="0EC5B03E" w:rsidR="007709EC" w:rsidRDefault="007709EC" w:rsidP="009476F4">
      <w:pPr>
        <w:pStyle w:val="Default"/>
        <w:rPr>
          <w:sz w:val="23"/>
          <w:szCs w:val="23"/>
        </w:rPr>
      </w:pPr>
      <w:r>
        <w:rPr>
          <w:sz w:val="23"/>
          <w:szCs w:val="23"/>
        </w:rPr>
        <w:t>Tier 2 WCT Events: 1.33 x U20 Event Point Values</w:t>
      </w:r>
    </w:p>
    <w:p w14:paraId="124CC305" w14:textId="20665E5F" w:rsidR="007709EC" w:rsidRDefault="007709EC" w:rsidP="009476F4">
      <w:pPr>
        <w:pStyle w:val="Default"/>
        <w:rPr>
          <w:sz w:val="23"/>
          <w:szCs w:val="23"/>
        </w:rPr>
      </w:pPr>
      <w:r>
        <w:rPr>
          <w:sz w:val="23"/>
          <w:szCs w:val="23"/>
        </w:rPr>
        <w:t>Tier 1 WCT Events: 1.667 x U20 Event Point Values</w:t>
      </w:r>
    </w:p>
    <w:p w14:paraId="1750A591" w14:textId="77777777" w:rsidR="007709EC" w:rsidRDefault="007709EC" w:rsidP="009476F4">
      <w:pPr>
        <w:pStyle w:val="Default"/>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2771"/>
        <w:gridCol w:w="2771"/>
      </w:tblGrid>
      <w:tr w:rsidR="009476F4" w14:paraId="6FD74FC9" w14:textId="77777777" w:rsidTr="00557EBF">
        <w:trPr>
          <w:trHeight w:val="120"/>
          <w:jc w:val="center"/>
        </w:trPr>
        <w:tc>
          <w:tcPr>
            <w:tcW w:w="2771" w:type="dxa"/>
          </w:tcPr>
          <w:p w14:paraId="318C62BB" w14:textId="4E44DEEF" w:rsidR="009476F4" w:rsidRDefault="009476F4">
            <w:pPr>
              <w:pStyle w:val="Default"/>
              <w:rPr>
                <w:sz w:val="23"/>
                <w:szCs w:val="23"/>
              </w:rPr>
            </w:pPr>
            <w:r>
              <w:rPr>
                <w:b/>
                <w:bCs/>
                <w:sz w:val="23"/>
                <w:szCs w:val="23"/>
              </w:rPr>
              <w:t xml:space="preserve">Other Events </w:t>
            </w:r>
          </w:p>
        </w:tc>
        <w:tc>
          <w:tcPr>
            <w:tcW w:w="2771" w:type="dxa"/>
          </w:tcPr>
          <w:p w14:paraId="71B4610C" w14:textId="77777777" w:rsidR="009476F4" w:rsidRDefault="009476F4">
            <w:pPr>
              <w:pStyle w:val="Default"/>
              <w:rPr>
                <w:sz w:val="23"/>
                <w:szCs w:val="23"/>
              </w:rPr>
            </w:pPr>
            <w:r>
              <w:rPr>
                <w:b/>
                <w:bCs/>
                <w:sz w:val="23"/>
                <w:szCs w:val="23"/>
              </w:rPr>
              <w:t xml:space="preserve">Tier 1 WCT Events (SFM ≥5) </w:t>
            </w:r>
          </w:p>
        </w:tc>
        <w:tc>
          <w:tcPr>
            <w:tcW w:w="2771" w:type="dxa"/>
          </w:tcPr>
          <w:p w14:paraId="2FFBF449" w14:textId="77777777" w:rsidR="009476F4" w:rsidRDefault="009476F4">
            <w:pPr>
              <w:pStyle w:val="Default"/>
              <w:rPr>
                <w:sz w:val="23"/>
                <w:szCs w:val="23"/>
              </w:rPr>
            </w:pPr>
            <w:r>
              <w:rPr>
                <w:b/>
                <w:bCs/>
                <w:sz w:val="23"/>
                <w:szCs w:val="23"/>
              </w:rPr>
              <w:t xml:space="preserve">Tier 2 WCT Events (SFM &lt;5) </w:t>
            </w:r>
          </w:p>
        </w:tc>
      </w:tr>
      <w:tr w:rsidR="009476F4" w14:paraId="0252010B" w14:textId="77777777" w:rsidTr="00557EBF">
        <w:trPr>
          <w:trHeight w:val="120"/>
          <w:jc w:val="center"/>
        </w:trPr>
        <w:tc>
          <w:tcPr>
            <w:tcW w:w="2771" w:type="dxa"/>
          </w:tcPr>
          <w:p w14:paraId="321CC5DC" w14:textId="77777777" w:rsidR="009476F4" w:rsidRDefault="009476F4">
            <w:pPr>
              <w:pStyle w:val="Default"/>
              <w:rPr>
                <w:sz w:val="23"/>
                <w:szCs w:val="23"/>
              </w:rPr>
            </w:pPr>
            <w:r>
              <w:rPr>
                <w:sz w:val="23"/>
                <w:szCs w:val="23"/>
              </w:rPr>
              <w:t xml:space="preserve">Champion </w:t>
            </w:r>
          </w:p>
        </w:tc>
        <w:tc>
          <w:tcPr>
            <w:tcW w:w="2771" w:type="dxa"/>
          </w:tcPr>
          <w:p w14:paraId="14DF5BDF" w14:textId="7A616EB6" w:rsidR="009476F4" w:rsidRDefault="007709EC" w:rsidP="00557EBF">
            <w:pPr>
              <w:pStyle w:val="Default"/>
              <w:jc w:val="center"/>
              <w:rPr>
                <w:sz w:val="23"/>
                <w:szCs w:val="23"/>
              </w:rPr>
            </w:pPr>
            <w:r>
              <w:rPr>
                <w:sz w:val="23"/>
                <w:szCs w:val="23"/>
              </w:rPr>
              <w:t>75</w:t>
            </w:r>
          </w:p>
        </w:tc>
        <w:tc>
          <w:tcPr>
            <w:tcW w:w="2771" w:type="dxa"/>
          </w:tcPr>
          <w:p w14:paraId="57D43069" w14:textId="396E5686" w:rsidR="009476F4" w:rsidRDefault="009476F4" w:rsidP="00557EBF">
            <w:pPr>
              <w:pStyle w:val="Default"/>
              <w:jc w:val="center"/>
              <w:rPr>
                <w:sz w:val="23"/>
                <w:szCs w:val="23"/>
              </w:rPr>
            </w:pPr>
            <w:r>
              <w:rPr>
                <w:sz w:val="23"/>
                <w:szCs w:val="23"/>
              </w:rPr>
              <w:t>60</w:t>
            </w:r>
          </w:p>
        </w:tc>
      </w:tr>
      <w:tr w:rsidR="009476F4" w14:paraId="312E8760" w14:textId="77777777" w:rsidTr="00557EBF">
        <w:trPr>
          <w:trHeight w:val="120"/>
          <w:jc w:val="center"/>
        </w:trPr>
        <w:tc>
          <w:tcPr>
            <w:tcW w:w="2771" w:type="dxa"/>
          </w:tcPr>
          <w:p w14:paraId="1EFEAEC2" w14:textId="77777777" w:rsidR="009476F4" w:rsidRDefault="009476F4">
            <w:pPr>
              <w:pStyle w:val="Default"/>
              <w:rPr>
                <w:sz w:val="23"/>
                <w:szCs w:val="23"/>
              </w:rPr>
            </w:pPr>
            <w:r>
              <w:rPr>
                <w:sz w:val="23"/>
                <w:szCs w:val="23"/>
              </w:rPr>
              <w:t xml:space="preserve">Finalist </w:t>
            </w:r>
          </w:p>
        </w:tc>
        <w:tc>
          <w:tcPr>
            <w:tcW w:w="2771" w:type="dxa"/>
          </w:tcPr>
          <w:p w14:paraId="2B82FEF4" w14:textId="3A049E5C" w:rsidR="009476F4" w:rsidRDefault="009476F4" w:rsidP="00557EBF">
            <w:pPr>
              <w:pStyle w:val="Default"/>
              <w:jc w:val="center"/>
              <w:rPr>
                <w:sz w:val="23"/>
                <w:szCs w:val="23"/>
              </w:rPr>
            </w:pPr>
            <w:r>
              <w:rPr>
                <w:sz w:val="23"/>
                <w:szCs w:val="23"/>
              </w:rPr>
              <w:t>5</w:t>
            </w:r>
            <w:r w:rsidR="007709EC">
              <w:rPr>
                <w:sz w:val="23"/>
                <w:szCs w:val="23"/>
              </w:rPr>
              <w:t>2.5</w:t>
            </w:r>
          </w:p>
        </w:tc>
        <w:tc>
          <w:tcPr>
            <w:tcW w:w="2771" w:type="dxa"/>
          </w:tcPr>
          <w:p w14:paraId="5B7BA324" w14:textId="58FA1E5B" w:rsidR="009476F4" w:rsidRDefault="009476F4" w:rsidP="00557EBF">
            <w:pPr>
              <w:pStyle w:val="Default"/>
              <w:jc w:val="center"/>
              <w:rPr>
                <w:sz w:val="23"/>
                <w:szCs w:val="23"/>
              </w:rPr>
            </w:pPr>
            <w:r>
              <w:rPr>
                <w:sz w:val="23"/>
                <w:szCs w:val="23"/>
              </w:rPr>
              <w:t>42</w:t>
            </w:r>
          </w:p>
        </w:tc>
      </w:tr>
      <w:tr w:rsidR="009476F4" w14:paraId="3BF82588" w14:textId="77777777" w:rsidTr="00557EBF">
        <w:trPr>
          <w:trHeight w:val="120"/>
          <w:jc w:val="center"/>
        </w:trPr>
        <w:tc>
          <w:tcPr>
            <w:tcW w:w="2771" w:type="dxa"/>
          </w:tcPr>
          <w:p w14:paraId="610C4BE9" w14:textId="77777777" w:rsidR="009476F4" w:rsidRDefault="009476F4">
            <w:pPr>
              <w:pStyle w:val="Default"/>
              <w:rPr>
                <w:sz w:val="23"/>
                <w:szCs w:val="23"/>
              </w:rPr>
            </w:pPr>
            <w:r>
              <w:rPr>
                <w:sz w:val="23"/>
                <w:szCs w:val="23"/>
              </w:rPr>
              <w:t xml:space="preserve">Semifinalist </w:t>
            </w:r>
          </w:p>
        </w:tc>
        <w:tc>
          <w:tcPr>
            <w:tcW w:w="2771" w:type="dxa"/>
          </w:tcPr>
          <w:p w14:paraId="2FC901E9" w14:textId="1514B9CC" w:rsidR="009476F4" w:rsidRDefault="007709EC" w:rsidP="00557EBF">
            <w:pPr>
              <w:pStyle w:val="Default"/>
              <w:jc w:val="center"/>
              <w:rPr>
                <w:sz w:val="23"/>
                <w:szCs w:val="23"/>
              </w:rPr>
            </w:pPr>
            <w:r>
              <w:rPr>
                <w:sz w:val="23"/>
                <w:szCs w:val="23"/>
              </w:rPr>
              <w:t>37.5</w:t>
            </w:r>
          </w:p>
        </w:tc>
        <w:tc>
          <w:tcPr>
            <w:tcW w:w="2771" w:type="dxa"/>
          </w:tcPr>
          <w:p w14:paraId="4D5B206F" w14:textId="0E6B746F" w:rsidR="009476F4" w:rsidRDefault="009476F4" w:rsidP="00557EBF">
            <w:pPr>
              <w:pStyle w:val="Default"/>
              <w:jc w:val="center"/>
              <w:rPr>
                <w:sz w:val="23"/>
                <w:szCs w:val="23"/>
              </w:rPr>
            </w:pPr>
            <w:r>
              <w:rPr>
                <w:sz w:val="23"/>
                <w:szCs w:val="23"/>
              </w:rPr>
              <w:t>30</w:t>
            </w:r>
          </w:p>
        </w:tc>
      </w:tr>
      <w:tr w:rsidR="009476F4" w14:paraId="30015C1D" w14:textId="77777777" w:rsidTr="00557EBF">
        <w:trPr>
          <w:trHeight w:val="120"/>
          <w:jc w:val="center"/>
        </w:trPr>
        <w:tc>
          <w:tcPr>
            <w:tcW w:w="2771" w:type="dxa"/>
          </w:tcPr>
          <w:p w14:paraId="39C498C4" w14:textId="77777777" w:rsidR="009476F4" w:rsidRDefault="009476F4">
            <w:pPr>
              <w:pStyle w:val="Default"/>
              <w:rPr>
                <w:sz w:val="23"/>
                <w:szCs w:val="23"/>
              </w:rPr>
            </w:pPr>
            <w:r>
              <w:rPr>
                <w:sz w:val="23"/>
                <w:szCs w:val="23"/>
              </w:rPr>
              <w:t xml:space="preserve">Quarterfinalist </w:t>
            </w:r>
          </w:p>
        </w:tc>
        <w:tc>
          <w:tcPr>
            <w:tcW w:w="2771" w:type="dxa"/>
          </w:tcPr>
          <w:p w14:paraId="4625602F" w14:textId="04E7CEFB" w:rsidR="009476F4" w:rsidRDefault="007709EC" w:rsidP="00557EBF">
            <w:pPr>
              <w:pStyle w:val="Default"/>
              <w:jc w:val="center"/>
              <w:rPr>
                <w:sz w:val="23"/>
                <w:szCs w:val="23"/>
              </w:rPr>
            </w:pPr>
            <w:r>
              <w:rPr>
                <w:sz w:val="23"/>
                <w:szCs w:val="23"/>
              </w:rPr>
              <w:t>27</w:t>
            </w:r>
          </w:p>
        </w:tc>
        <w:tc>
          <w:tcPr>
            <w:tcW w:w="2771" w:type="dxa"/>
          </w:tcPr>
          <w:p w14:paraId="22E7C1C5" w14:textId="4B5E84F7" w:rsidR="009476F4" w:rsidRDefault="009476F4" w:rsidP="00557EBF">
            <w:pPr>
              <w:pStyle w:val="Default"/>
              <w:jc w:val="center"/>
              <w:rPr>
                <w:sz w:val="23"/>
                <w:szCs w:val="23"/>
              </w:rPr>
            </w:pPr>
            <w:r>
              <w:rPr>
                <w:sz w:val="23"/>
                <w:szCs w:val="23"/>
              </w:rPr>
              <w:t>21.6</w:t>
            </w:r>
          </w:p>
        </w:tc>
      </w:tr>
      <w:tr w:rsidR="009476F4" w14:paraId="42CE1F91" w14:textId="77777777" w:rsidTr="00557EBF">
        <w:trPr>
          <w:trHeight w:val="120"/>
          <w:jc w:val="center"/>
        </w:trPr>
        <w:tc>
          <w:tcPr>
            <w:tcW w:w="2771" w:type="dxa"/>
          </w:tcPr>
          <w:p w14:paraId="3F378B31" w14:textId="77777777" w:rsidR="009476F4" w:rsidRDefault="009476F4">
            <w:pPr>
              <w:pStyle w:val="Default"/>
              <w:rPr>
                <w:sz w:val="23"/>
                <w:szCs w:val="23"/>
              </w:rPr>
            </w:pPr>
            <w:r>
              <w:rPr>
                <w:sz w:val="23"/>
                <w:szCs w:val="23"/>
              </w:rPr>
              <w:t xml:space="preserve">Points per Win </w:t>
            </w:r>
          </w:p>
        </w:tc>
        <w:tc>
          <w:tcPr>
            <w:tcW w:w="2771" w:type="dxa"/>
          </w:tcPr>
          <w:p w14:paraId="50E3BBA7" w14:textId="48659FA6" w:rsidR="009476F4" w:rsidRDefault="009476F4" w:rsidP="00557EBF">
            <w:pPr>
              <w:pStyle w:val="Default"/>
              <w:jc w:val="center"/>
              <w:rPr>
                <w:sz w:val="23"/>
                <w:szCs w:val="23"/>
              </w:rPr>
            </w:pPr>
            <w:r>
              <w:rPr>
                <w:sz w:val="23"/>
                <w:szCs w:val="23"/>
              </w:rPr>
              <w:t>5</w:t>
            </w:r>
          </w:p>
        </w:tc>
        <w:tc>
          <w:tcPr>
            <w:tcW w:w="2771" w:type="dxa"/>
          </w:tcPr>
          <w:p w14:paraId="4BA2E23D" w14:textId="041FCBE1" w:rsidR="009476F4" w:rsidRDefault="009476F4" w:rsidP="00557EBF">
            <w:pPr>
              <w:pStyle w:val="Default"/>
              <w:jc w:val="center"/>
              <w:rPr>
                <w:sz w:val="23"/>
                <w:szCs w:val="23"/>
              </w:rPr>
            </w:pPr>
            <w:r>
              <w:rPr>
                <w:sz w:val="23"/>
                <w:szCs w:val="23"/>
              </w:rPr>
              <w:t>4</w:t>
            </w:r>
          </w:p>
        </w:tc>
      </w:tr>
    </w:tbl>
    <w:p w14:paraId="3A69ABB6" w14:textId="77777777" w:rsidR="00557EBF" w:rsidRDefault="00557EBF" w:rsidP="009476F4">
      <w:pPr>
        <w:pStyle w:val="Default"/>
        <w:rPr>
          <w:b/>
          <w:bCs/>
          <w:sz w:val="28"/>
          <w:szCs w:val="28"/>
        </w:rPr>
      </w:pPr>
    </w:p>
    <w:p w14:paraId="5980A9E2" w14:textId="69075F8B" w:rsidR="007709EC" w:rsidRPr="00557EBF" w:rsidRDefault="009476F4" w:rsidP="009476F4">
      <w:pPr>
        <w:pStyle w:val="Default"/>
        <w:rPr>
          <w:rFonts w:ascii="Industry Inc Base" w:hAnsi="Industry Inc Base"/>
          <w:color w:val="163C49"/>
          <w:sz w:val="28"/>
          <w:szCs w:val="28"/>
        </w:rPr>
      </w:pPr>
      <w:r w:rsidRPr="00557EBF">
        <w:rPr>
          <w:rFonts w:ascii="Industry Inc Base" w:hAnsi="Industry Inc Base"/>
          <w:color w:val="163C49"/>
          <w:sz w:val="28"/>
          <w:szCs w:val="28"/>
        </w:rPr>
        <w:t xml:space="preserve">Other Events </w:t>
      </w:r>
    </w:p>
    <w:p w14:paraId="475BD5D9" w14:textId="47BC29A7" w:rsidR="007709EC" w:rsidRDefault="007709EC" w:rsidP="009476F4">
      <w:pPr>
        <w:pStyle w:val="Default"/>
        <w:rPr>
          <w:sz w:val="23"/>
          <w:szCs w:val="23"/>
        </w:rPr>
      </w:pPr>
      <w:r>
        <w:rPr>
          <w:sz w:val="23"/>
          <w:szCs w:val="23"/>
        </w:rPr>
        <w:t>The following points will be awarded for other events as listed below. The U20 Excel Cup will remain a premier Alberta Curling Tour – U20 event, and teams will be awarded with 1.33x U20 Event Point Values.</w:t>
      </w:r>
    </w:p>
    <w:p w14:paraId="6E1ABBC1" w14:textId="77777777" w:rsidR="007709EC" w:rsidRDefault="007709EC" w:rsidP="009476F4">
      <w:pPr>
        <w:pStyle w:val="Default"/>
        <w:rPr>
          <w:sz w:val="23"/>
          <w:szCs w:val="23"/>
        </w:rPr>
      </w:pPr>
    </w:p>
    <w:p w14:paraId="0D1FD3BF" w14:textId="77777777" w:rsidR="00130D39" w:rsidRDefault="00130D39" w:rsidP="009476F4">
      <w:pPr>
        <w:pStyle w:val="Default"/>
        <w:rPr>
          <w:sz w:val="23"/>
          <w:szCs w:val="23"/>
        </w:rPr>
      </w:pPr>
      <w:r>
        <w:rPr>
          <w:sz w:val="23"/>
          <w:szCs w:val="23"/>
        </w:rPr>
        <w:t xml:space="preserve">Curling Alberta acknowledges that travel to many of the events on the Alberta Curling Tour may be a restriction for teams in the Peace region. </w:t>
      </w:r>
      <w:r w:rsidR="007709EC">
        <w:rPr>
          <w:sz w:val="23"/>
          <w:szCs w:val="23"/>
        </w:rPr>
        <w:t xml:space="preserve">Peace Curling Tour’s “Challenge Division” is </w:t>
      </w:r>
      <w:r>
        <w:rPr>
          <w:sz w:val="23"/>
          <w:szCs w:val="23"/>
        </w:rPr>
        <w:t xml:space="preserve">a great building block for Under-18 teams in the Peace region, and Curling Alberta will acknowledge this division as an event for Under-18 teams to compete. </w:t>
      </w:r>
    </w:p>
    <w:p w14:paraId="555FA21C" w14:textId="77777777" w:rsidR="00130D39" w:rsidRDefault="00130D39" w:rsidP="009476F4">
      <w:pPr>
        <w:pStyle w:val="Default"/>
        <w:rPr>
          <w:sz w:val="23"/>
          <w:szCs w:val="23"/>
        </w:rPr>
      </w:pPr>
    </w:p>
    <w:p w14:paraId="64455CBE" w14:textId="190AFB83" w:rsidR="007709EC" w:rsidRDefault="00130D39" w:rsidP="009476F4">
      <w:pPr>
        <w:pStyle w:val="Default"/>
        <w:rPr>
          <w:sz w:val="23"/>
          <w:szCs w:val="23"/>
        </w:rPr>
      </w:pPr>
      <w:r>
        <w:rPr>
          <w:sz w:val="23"/>
          <w:szCs w:val="23"/>
        </w:rPr>
        <w:t>Peace Curling Tour Challenge Division events will earn teams point values equal to U18 events.</w:t>
      </w:r>
    </w:p>
    <w:p w14:paraId="3213AF8C" w14:textId="77777777" w:rsidR="007709EC" w:rsidRDefault="007709EC" w:rsidP="009476F4">
      <w:pPr>
        <w:pStyle w:val="Default"/>
        <w:rPr>
          <w:sz w:val="28"/>
          <w:szCs w:val="28"/>
        </w:rPr>
      </w:pPr>
    </w:p>
    <w:p w14:paraId="3391FD35" w14:textId="77777777" w:rsidR="00557EBF" w:rsidRDefault="00557EBF" w:rsidP="009476F4">
      <w:pPr>
        <w:pStyle w:val="Default"/>
        <w:rPr>
          <w:sz w:val="28"/>
          <w:szCs w:val="28"/>
        </w:rPr>
      </w:pPr>
    </w:p>
    <w:p w14:paraId="10D266C3" w14:textId="77777777" w:rsidR="00557EBF" w:rsidRDefault="00557EBF" w:rsidP="009476F4">
      <w:pPr>
        <w:pStyle w:val="Default"/>
        <w:rPr>
          <w:sz w:val="28"/>
          <w:szCs w:val="28"/>
        </w:rPr>
      </w:pPr>
    </w:p>
    <w:p w14:paraId="5A991309" w14:textId="77777777" w:rsidR="00557EBF" w:rsidRDefault="00557EBF" w:rsidP="009476F4">
      <w:pPr>
        <w:pStyle w:val="Default"/>
        <w:rPr>
          <w:sz w:val="28"/>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0"/>
        <w:gridCol w:w="2710"/>
        <w:gridCol w:w="2710"/>
      </w:tblGrid>
      <w:tr w:rsidR="009476F4" w14:paraId="6308EAAD" w14:textId="77777777" w:rsidTr="00557EBF">
        <w:trPr>
          <w:trHeight w:val="412"/>
        </w:trPr>
        <w:tc>
          <w:tcPr>
            <w:tcW w:w="2710" w:type="dxa"/>
          </w:tcPr>
          <w:p w14:paraId="0CBE7152" w14:textId="33F4E703" w:rsidR="009476F4" w:rsidRDefault="009476F4">
            <w:pPr>
              <w:pStyle w:val="Default"/>
              <w:rPr>
                <w:sz w:val="23"/>
                <w:szCs w:val="23"/>
              </w:rPr>
            </w:pPr>
            <w:r>
              <w:rPr>
                <w:b/>
                <w:bCs/>
                <w:sz w:val="23"/>
                <w:szCs w:val="23"/>
              </w:rPr>
              <w:t xml:space="preserve">Other Events </w:t>
            </w:r>
          </w:p>
        </w:tc>
        <w:tc>
          <w:tcPr>
            <w:tcW w:w="2710" w:type="dxa"/>
          </w:tcPr>
          <w:p w14:paraId="010E1A87" w14:textId="77777777" w:rsidR="009476F4" w:rsidRDefault="009476F4">
            <w:pPr>
              <w:pStyle w:val="Default"/>
              <w:rPr>
                <w:sz w:val="23"/>
                <w:szCs w:val="23"/>
              </w:rPr>
            </w:pPr>
            <w:r>
              <w:rPr>
                <w:b/>
                <w:bCs/>
                <w:sz w:val="23"/>
                <w:szCs w:val="23"/>
              </w:rPr>
              <w:t xml:space="preserve">U20 Excel Cup </w:t>
            </w:r>
          </w:p>
          <w:p w14:paraId="7DDA9289" w14:textId="47998B65" w:rsidR="009476F4" w:rsidRDefault="009476F4">
            <w:pPr>
              <w:pStyle w:val="Default"/>
              <w:rPr>
                <w:sz w:val="23"/>
                <w:szCs w:val="23"/>
              </w:rPr>
            </w:pPr>
            <w:r>
              <w:rPr>
                <w:b/>
                <w:bCs/>
                <w:sz w:val="23"/>
                <w:szCs w:val="23"/>
              </w:rPr>
              <w:t xml:space="preserve"> </w:t>
            </w:r>
          </w:p>
        </w:tc>
        <w:tc>
          <w:tcPr>
            <w:tcW w:w="2710" w:type="dxa"/>
          </w:tcPr>
          <w:p w14:paraId="4534966E" w14:textId="77777777" w:rsidR="009476F4" w:rsidRDefault="009476F4">
            <w:pPr>
              <w:pStyle w:val="Default"/>
              <w:rPr>
                <w:sz w:val="23"/>
                <w:szCs w:val="23"/>
              </w:rPr>
            </w:pPr>
            <w:r>
              <w:rPr>
                <w:b/>
                <w:bCs/>
                <w:sz w:val="23"/>
                <w:szCs w:val="23"/>
              </w:rPr>
              <w:t xml:space="preserve">Peace Curling Tour </w:t>
            </w:r>
          </w:p>
          <w:p w14:paraId="0D7BD78D" w14:textId="77777777" w:rsidR="009476F4" w:rsidRDefault="009476F4">
            <w:pPr>
              <w:pStyle w:val="Default"/>
              <w:rPr>
                <w:sz w:val="23"/>
                <w:szCs w:val="23"/>
              </w:rPr>
            </w:pPr>
            <w:r>
              <w:rPr>
                <w:b/>
                <w:bCs/>
                <w:sz w:val="23"/>
                <w:szCs w:val="23"/>
              </w:rPr>
              <w:t xml:space="preserve">Challenge Division (U18 Teams Only) </w:t>
            </w:r>
          </w:p>
        </w:tc>
      </w:tr>
      <w:tr w:rsidR="009476F4" w14:paraId="6ED8A71C" w14:textId="77777777" w:rsidTr="00557EBF">
        <w:trPr>
          <w:trHeight w:val="120"/>
        </w:trPr>
        <w:tc>
          <w:tcPr>
            <w:tcW w:w="2710" w:type="dxa"/>
          </w:tcPr>
          <w:p w14:paraId="681FE05D" w14:textId="77777777" w:rsidR="009476F4" w:rsidRDefault="009476F4">
            <w:pPr>
              <w:pStyle w:val="Default"/>
              <w:rPr>
                <w:sz w:val="23"/>
                <w:szCs w:val="23"/>
              </w:rPr>
            </w:pPr>
            <w:r>
              <w:rPr>
                <w:sz w:val="23"/>
                <w:szCs w:val="23"/>
              </w:rPr>
              <w:t xml:space="preserve">Champion </w:t>
            </w:r>
          </w:p>
        </w:tc>
        <w:tc>
          <w:tcPr>
            <w:tcW w:w="2710" w:type="dxa"/>
          </w:tcPr>
          <w:p w14:paraId="29EF30BE" w14:textId="503C69BB" w:rsidR="009476F4" w:rsidRDefault="009476F4" w:rsidP="00557EBF">
            <w:pPr>
              <w:pStyle w:val="Default"/>
              <w:jc w:val="center"/>
              <w:rPr>
                <w:sz w:val="23"/>
                <w:szCs w:val="23"/>
              </w:rPr>
            </w:pPr>
            <w:r>
              <w:rPr>
                <w:sz w:val="23"/>
                <w:szCs w:val="23"/>
              </w:rPr>
              <w:t>60</w:t>
            </w:r>
          </w:p>
        </w:tc>
        <w:tc>
          <w:tcPr>
            <w:tcW w:w="2710" w:type="dxa"/>
          </w:tcPr>
          <w:p w14:paraId="582DC482" w14:textId="38B11C87" w:rsidR="009476F4" w:rsidRDefault="00EA7723" w:rsidP="00557EBF">
            <w:pPr>
              <w:pStyle w:val="Default"/>
              <w:jc w:val="center"/>
              <w:rPr>
                <w:sz w:val="23"/>
                <w:szCs w:val="23"/>
              </w:rPr>
            </w:pPr>
            <w:r>
              <w:rPr>
                <w:sz w:val="23"/>
                <w:szCs w:val="23"/>
              </w:rPr>
              <w:t>3</w:t>
            </w:r>
            <w:r w:rsidR="009476F4">
              <w:rPr>
                <w:sz w:val="23"/>
                <w:szCs w:val="23"/>
              </w:rPr>
              <w:t>0</w:t>
            </w:r>
          </w:p>
        </w:tc>
      </w:tr>
      <w:tr w:rsidR="009476F4" w14:paraId="5119D16F" w14:textId="77777777" w:rsidTr="00557EBF">
        <w:trPr>
          <w:trHeight w:val="120"/>
        </w:trPr>
        <w:tc>
          <w:tcPr>
            <w:tcW w:w="2710" w:type="dxa"/>
          </w:tcPr>
          <w:p w14:paraId="088FCEFE" w14:textId="77777777" w:rsidR="009476F4" w:rsidRDefault="009476F4">
            <w:pPr>
              <w:pStyle w:val="Default"/>
              <w:rPr>
                <w:sz w:val="23"/>
                <w:szCs w:val="23"/>
              </w:rPr>
            </w:pPr>
            <w:r>
              <w:rPr>
                <w:sz w:val="23"/>
                <w:szCs w:val="23"/>
              </w:rPr>
              <w:t xml:space="preserve">Finalist </w:t>
            </w:r>
          </w:p>
        </w:tc>
        <w:tc>
          <w:tcPr>
            <w:tcW w:w="2710" w:type="dxa"/>
          </w:tcPr>
          <w:p w14:paraId="10049675" w14:textId="7DA0289A" w:rsidR="009476F4" w:rsidRDefault="009476F4" w:rsidP="00557EBF">
            <w:pPr>
              <w:pStyle w:val="Default"/>
              <w:jc w:val="center"/>
              <w:rPr>
                <w:sz w:val="23"/>
                <w:szCs w:val="23"/>
              </w:rPr>
            </w:pPr>
            <w:r>
              <w:rPr>
                <w:sz w:val="23"/>
                <w:szCs w:val="23"/>
              </w:rPr>
              <w:t>42</w:t>
            </w:r>
          </w:p>
        </w:tc>
        <w:tc>
          <w:tcPr>
            <w:tcW w:w="2710" w:type="dxa"/>
          </w:tcPr>
          <w:p w14:paraId="1B0CB21D" w14:textId="739BE4E1" w:rsidR="009476F4" w:rsidRDefault="00EA7723" w:rsidP="00557EBF">
            <w:pPr>
              <w:pStyle w:val="Default"/>
              <w:jc w:val="center"/>
              <w:rPr>
                <w:sz w:val="23"/>
                <w:szCs w:val="23"/>
              </w:rPr>
            </w:pPr>
            <w:r>
              <w:rPr>
                <w:sz w:val="23"/>
                <w:szCs w:val="23"/>
              </w:rPr>
              <w:t>21</w:t>
            </w:r>
          </w:p>
        </w:tc>
      </w:tr>
      <w:tr w:rsidR="009476F4" w14:paraId="32610534" w14:textId="77777777" w:rsidTr="00557EBF">
        <w:trPr>
          <w:trHeight w:val="120"/>
        </w:trPr>
        <w:tc>
          <w:tcPr>
            <w:tcW w:w="2710" w:type="dxa"/>
          </w:tcPr>
          <w:p w14:paraId="6684736D" w14:textId="77777777" w:rsidR="009476F4" w:rsidRDefault="009476F4">
            <w:pPr>
              <w:pStyle w:val="Default"/>
              <w:rPr>
                <w:sz w:val="23"/>
                <w:szCs w:val="23"/>
              </w:rPr>
            </w:pPr>
            <w:r>
              <w:rPr>
                <w:sz w:val="23"/>
                <w:szCs w:val="23"/>
              </w:rPr>
              <w:t xml:space="preserve">Semifinalist </w:t>
            </w:r>
          </w:p>
        </w:tc>
        <w:tc>
          <w:tcPr>
            <w:tcW w:w="2710" w:type="dxa"/>
          </w:tcPr>
          <w:p w14:paraId="024D1037" w14:textId="044299AE" w:rsidR="009476F4" w:rsidRDefault="009476F4" w:rsidP="00557EBF">
            <w:pPr>
              <w:pStyle w:val="Default"/>
              <w:jc w:val="center"/>
              <w:rPr>
                <w:sz w:val="23"/>
                <w:szCs w:val="23"/>
              </w:rPr>
            </w:pPr>
            <w:r>
              <w:rPr>
                <w:sz w:val="23"/>
                <w:szCs w:val="23"/>
              </w:rPr>
              <w:t>30</w:t>
            </w:r>
          </w:p>
        </w:tc>
        <w:tc>
          <w:tcPr>
            <w:tcW w:w="2710" w:type="dxa"/>
          </w:tcPr>
          <w:p w14:paraId="6173CBDF" w14:textId="00B6B1D4" w:rsidR="009476F4" w:rsidRDefault="00EA7723" w:rsidP="00557EBF">
            <w:pPr>
              <w:pStyle w:val="Default"/>
              <w:jc w:val="center"/>
              <w:rPr>
                <w:sz w:val="23"/>
                <w:szCs w:val="23"/>
              </w:rPr>
            </w:pPr>
            <w:r>
              <w:rPr>
                <w:sz w:val="23"/>
                <w:szCs w:val="23"/>
              </w:rPr>
              <w:t>15</w:t>
            </w:r>
          </w:p>
        </w:tc>
      </w:tr>
      <w:tr w:rsidR="009476F4" w14:paraId="0E287C92" w14:textId="77777777" w:rsidTr="00557EBF">
        <w:trPr>
          <w:trHeight w:val="120"/>
        </w:trPr>
        <w:tc>
          <w:tcPr>
            <w:tcW w:w="2710" w:type="dxa"/>
          </w:tcPr>
          <w:p w14:paraId="4F11688B" w14:textId="77777777" w:rsidR="009476F4" w:rsidRDefault="009476F4">
            <w:pPr>
              <w:pStyle w:val="Default"/>
              <w:rPr>
                <w:sz w:val="23"/>
                <w:szCs w:val="23"/>
              </w:rPr>
            </w:pPr>
            <w:r>
              <w:rPr>
                <w:sz w:val="23"/>
                <w:szCs w:val="23"/>
              </w:rPr>
              <w:t xml:space="preserve">Quarterfinalist </w:t>
            </w:r>
          </w:p>
        </w:tc>
        <w:tc>
          <w:tcPr>
            <w:tcW w:w="2710" w:type="dxa"/>
          </w:tcPr>
          <w:p w14:paraId="69E46F5D" w14:textId="0A0E53E6" w:rsidR="009476F4" w:rsidRDefault="009476F4" w:rsidP="00557EBF">
            <w:pPr>
              <w:pStyle w:val="Default"/>
              <w:jc w:val="center"/>
              <w:rPr>
                <w:sz w:val="23"/>
                <w:szCs w:val="23"/>
              </w:rPr>
            </w:pPr>
            <w:r>
              <w:rPr>
                <w:sz w:val="23"/>
                <w:szCs w:val="23"/>
              </w:rPr>
              <w:t>21.6</w:t>
            </w:r>
          </w:p>
        </w:tc>
        <w:tc>
          <w:tcPr>
            <w:tcW w:w="2710" w:type="dxa"/>
          </w:tcPr>
          <w:p w14:paraId="7B913EF0" w14:textId="2EA8939D" w:rsidR="009476F4" w:rsidRDefault="00EA7723" w:rsidP="00557EBF">
            <w:pPr>
              <w:pStyle w:val="Default"/>
              <w:jc w:val="center"/>
              <w:rPr>
                <w:sz w:val="23"/>
                <w:szCs w:val="23"/>
              </w:rPr>
            </w:pPr>
            <w:r>
              <w:rPr>
                <w:sz w:val="23"/>
                <w:szCs w:val="23"/>
              </w:rPr>
              <w:t>10.8</w:t>
            </w:r>
          </w:p>
        </w:tc>
      </w:tr>
      <w:tr w:rsidR="009476F4" w14:paraId="6F6CA847" w14:textId="77777777" w:rsidTr="00557EBF">
        <w:trPr>
          <w:trHeight w:val="293"/>
        </w:trPr>
        <w:tc>
          <w:tcPr>
            <w:tcW w:w="2710" w:type="dxa"/>
          </w:tcPr>
          <w:p w14:paraId="423F986C" w14:textId="77777777" w:rsidR="009476F4" w:rsidRDefault="009476F4">
            <w:pPr>
              <w:pStyle w:val="Default"/>
              <w:rPr>
                <w:sz w:val="23"/>
                <w:szCs w:val="23"/>
              </w:rPr>
            </w:pPr>
            <w:r>
              <w:rPr>
                <w:sz w:val="23"/>
                <w:szCs w:val="23"/>
              </w:rPr>
              <w:t xml:space="preserve">Points per Win </w:t>
            </w:r>
          </w:p>
        </w:tc>
        <w:tc>
          <w:tcPr>
            <w:tcW w:w="2710" w:type="dxa"/>
          </w:tcPr>
          <w:p w14:paraId="1CC74798" w14:textId="62B54E0F" w:rsidR="009476F4" w:rsidRDefault="009476F4" w:rsidP="00557EBF">
            <w:pPr>
              <w:pStyle w:val="Default"/>
              <w:jc w:val="center"/>
              <w:rPr>
                <w:sz w:val="23"/>
                <w:szCs w:val="23"/>
              </w:rPr>
            </w:pPr>
            <w:r>
              <w:rPr>
                <w:sz w:val="23"/>
                <w:szCs w:val="23"/>
              </w:rPr>
              <w:t>4</w:t>
            </w:r>
          </w:p>
        </w:tc>
        <w:tc>
          <w:tcPr>
            <w:tcW w:w="2710" w:type="dxa"/>
          </w:tcPr>
          <w:p w14:paraId="24125C53" w14:textId="6080756E" w:rsidR="009476F4" w:rsidRDefault="00EA7723" w:rsidP="00557EBF">
            <w:pPr>
              <w:pStyle w:val="Default"/>
              <w:jc w:val="center"/>
              <w:rPr>
                <w:sz w:val="23"/>
                <w:szCs w:val="23"/>
              </w:rPr>
            </w:pPr>
            <w:r>
              <w:rPr>
                <w:sz w:val="23"/>
                <w:szCs w:val="23"/>
              </w:rPr>
              <w:t>2</w:t>
            </w:r>
          </w:p>
        </w:tc>
      </w:tr>
    </w:tbl>
    <w:p w14:paraId="12F17DE0" w14:textId="1B3DC714" w:rsidR="005674E0" w:rsidRDefault="005674E0" w:rsidP="003F00C1"/>
    <w:p w14:paraId="7EB84562" w14:textId="724BA784" w:rsidR="009476F4" w:rsidRPr="00557EBF" w:rsidRDefault="00130D39" w:rsidP="003F00C1">
      <w:pPr>
        <w:rPr>
          <w:rFonts w:ascii="Industry Inc Base" w:hAnsi="Industry Inc Base"/>
          <w:color w:val="163C49"/>
        </w:rPr>
      </w:pPr>
      <w:r w:rsidRPr="00557EBF">
        <w:rPr>
          <w:rFonts w:ascii="Industry Inc Base" w:hAnsi="Industry Inc Base"/>
          <w:color w:val="163C49"/>
        </w:rPr>
        <w:t>Curling Alberta Provincial Championships</w:t>
      </w:r>
    </w:p>
    <w:p w14:paraId="00F87E57" w14:textId="77777777" w:rsidR="00130D39" w:rsidRDefault="00130D39" w:rsidP="003F00C1">
      <w:pPr>
        <w:rPr>
          <w:b/>
          <w:bCs/>
        </w:rPr>
      </w:pPr>
    </w:p>
    <w:p w14:paraId="7D5C8809" w14:textId="546518D0" w:rsidR="00130D39" w:rsidRDefault="00130D39" w:rsidP="003F00C1">
      <w:r>
        <w:t xml:space="preserve">Curling Alberta U20, U18, and U15 Provincial Qualifiers will no longer earn teams Alberta Curling Tour points. </w:t>
      </w:r>
    </w:p>
    <w:p w14:paraId="5203DDAC" w14:textId="77777777" w:rsidR="00130D39" w:rsidRDefault="00130D39" w:rsidP="003F00C1"/>
    <w:p w14:paraId="59F57A14" w14:textId="1E8A0A43" w:rsidR="00130D39" w:rsidRDefault="00130D39" w:rsidP="003F00C1">
      <w:r>
        <w:t>U20 Provincials (1.5x U20 Event Point Values)</w:t>
      </w:r>
    </w:p>
    <w:p w14:paraId="314B4C88" w14:textId="6A99BABC" w:rsidR="00130D39" w:rsidRDefault="00130D39" w:rsidP="003F00C1">
      <w:r>
        <w:t>U18 Provincials (1.5x U18 Event Point Values)</w:t>
      </w:r>
    </w:p>
    <w:p w14:paraId="7C4EA960" w14:textId="4EE1A092" w:rsidR="00130D39" w:rsidRDefault="00130D39" w:rsidP="003F00C1">
      <w:r>
        <w:t>U15 Provincials (1.5x U15 Event Point Values)</w:t>
      </w:r>
    </w:p>
    <w:p w14:paraId="4603529E" w14:textId="77777777" w:rsidR="00130D39" w:rsidRDefault="00130D39" w:rsidP="003F00C1"/>
    <w:tbl>
      <w:tblPr>
        <w:tblStyle w:val="TableGrid"/>
        <w:tblW w:w="0" w:type="auto"/>
        <w:tblLook w:val="04A0" w:firstRow="1" w:lastRow="0" w:firstColumn="1" w:lastColumn="0" w:noHBand="0" w:noVBand="1"/>
      </w:tblPr>
      <w:tblGrid>
        <w:gridCol w:w="2337"/>
        <w:gridCol w:w="2337"/>
        <w:gridCol w:w="2338"/>
        <w:gridCol w:w="2338"/>
      </w:tblGrid>
      <w:tr w:rsidR="00EA7723" w14:paraId="0C982847" w14:textId="77777777" w:rsidTr="00EA7723">
        <w:tc>
          <w:tcPr>
            <w:tcW w:w="2337" w:type="dxa"/>
          </w:tcPr>
          <w:p w14:paraId="227C135E" w14:textId="0B533E41" w:rsidR="00EA7723" w:rsidRDefault="00EA7723" w:rsidP="003F00C1">
            <w:r>
              <w:t>Curling Alberta Provincial Championships</w:t>
            </w:r>
          </w:p>
        </w:tc>
        <w:tc>
          <w:tcPr>
            <w:tcW w:w="2337" w:type="dxa"/>
          </w:tcPr>
          <w:p w14:paraId="0CFFBA12" w14:textId="4ADC235A" w:rsidR="00EA7723" w:rsidRDefault="00EA7723" w:rsidP="00557EBF">
            <w:pPr>
              <w:jc w:val="center"/>
            </w:pPr>
            <w:r>
              <w:t>U20 Provincials</w:t>
            </w:r>
          </w:p>
        </w:tc>
        <w:tc>
          <w:tcPr>
            <w:tcW w:w="2338" w:type="dxa"/>
          </w:tcPr>
          <w:p w14:paraId="4991EB80" w14:textId="5DC67DCC" w:rsidR="00EA7723" w:rsidRDefault="00EA7723" w:rsidP="00557EBF">
            <w:pPr>
              <w:jc w:val="center"/>
            </w:pPr>
            <w:r>
              <w:t>U18 Provincials</w:t>
            </w:r>
          </w:p>
        </w:tc>
        <w:tc>
          <w:tcPr>
            <w:tcW w:w="2338" w:type="dxa"/>
          </w:tcPr>
          <w:p w14:paraId="7E0478B8" w14:textId="127E3912" w:rsidR="00EA7723" w:rsidRDefault="00EA7723" w:rsidP="00557EBF">
            <w:pPr>
              <w:jc w:val="center"/>
            </w:pPr>
            <w:r>
              <w:t>U15 Provincials</w:t>
            </w:r>
          </w:p>
        </w:tc>
      </w:tr>
      <w:tr w:rsidR="00EA7723" w14:paraId="2A7D8230" w14:textId="77777777" w:rsidTr="00EA7723">
        <w:tc>
          <w:tcPr>
            <w:tcW w:w="2337" w:type="dxa"/>
          </w:tcPr>
          <w:p w14:paraId="444DE1F7" w14:textId="6C73637D" w:rsidR="00EA7723" w:rsidRDefault="00EA7723" w:rsidP="003F00C1">
            <w:r>
              <w:t>Champion</w:t>
            </w:r>
          </w:p>
        </w:tc>
        <w:tc>
          <w:tcPr>
            <w:tcW w:w="2337" w:type="dxa"/>
          </w:tcPr>
          <w:p w14:paraId="7AE2A714" w14:textId="466D5986" w:rsidR="00EA7723" w:rsidRDefault="00EA7723" w:rsidP="00557EBF">
            <w:pPr>
              <w:jc w:val="center"/>
            </w:pPr>
            <w:r>
              <w:t>67.5</w:t>
            </w:r>
          </w:p>
        </w:tc>
        <w:tc>
          <w:tcPr>
            <w:tcW w:w="2338" w:type="dxa"/>
          </w:tcPr>
          <w:p w14:paraId="6430AF1D" w14:textId="4720754F" w:rsidR="00EA7723" w:rsidRDefault="00EA7723" w:rsidP="00557EBF">
            <w:pPr>
              <w:jc w:val="center"/>
            </w:pPr>
            <w:r>
              <w:t>45</w:t>
            </w:r>
          </w:p>
        </w:tc>
        <w:tc>
          <w:tcPr>
            <w:tcW w:w="2338" w:type="dxa"/>
          </w:tcPr>
          <w:p w14:paraId="3ABAC753" w14:textId="34C067B5" w:rsidR="00EA7723" w:rsidRDefault="00EA7723" w:rsidP="00557EBF">
            <w:pPr>
              <w:jc w:val="center"/>
            </w:pPr>
            <w:r>
              <w:t>30</w:t>
            </w:r>
          </w:p>
        </w:tc>
      </w:tr>
      <w:tr w:rsidR="00EA7723" w14:paraId="3369D2A3" w14:textId="77777777" w:rsidTr="00EA7723">
        <w:tc>
          <w:tcPr>
            <w:tcW w:w="2337" w:type="dxa"/>
          </w:tcPr>
          <w:p w14:paraId="2BF82668" w14:textId="2EE45284" w:rsidR="00EA7723" w:rsidRDefault="00EA7723" w:rsidP="003F00C1">
            <w:r>
              <w:t>Finalist</w:t>
            </w:r>
          </w:p>
        </w:tc>
        <w:tc>
          <w:tcPr>
            <w:tcW w:w="2337" w:type="dxa"/>
          </w:tcPr>
          <w:p w14:paraId="69E63BBF" w14:textId="6946DE98" w:rsidR="00EA7723" w:rsidRDefault="00EA7723" w:rsidP="00557EBF">
            <w:pPr>
              <w:jc w:val="center"/>
            </w:pPr>
            <w:r>
              <w:t>47.25</w:t>
            </w:r>
          </w:p>
        </w:tc>
        <w:tc>
          <w:tcPr>
            <w:tcW w:w="2338" w:type="dxa"/>
          </w:tcPr>
          <w:p w14:paraId="408EF1AB" w14:textId="0A9E492A" w:rsidR="00EA7723" w:rsidRDefault="00EA7723" w:rsidP="00557EBF">
            <w:pPr>
              <w:jc w:val="center"/>
            </w:pPr>
            <w:r>
              <w:t>31.5</w:t>
            </w:r>
          </w:p>
        </w:tc>
        <w:tc>
          <w:tcPr>
            <w:tcW w:w="2338" w:type="dxa"/>
          </w:tcPr>
          <w:p w14:paraId="46D9FA72" w14:textId="6C9EED14" w:rsidR="00EA7723" w:rsidRDefault="00EA7723" w:rsidP="00557EBF">
            <w:pPr>
              <w:jc w:val="center"/>
            </w:pPr>
            <w:r>
              <w:t>21</w:t>
            </w:r>
          </w:p>
        </w:tc>
      </w:tr>
      <w:tr w:rsidR="00EA7723" w14:paraId="0650A65F" w14:textId="77777777" w:rsidTr="00EA7723">
        <w:tc>
          <w:tcPr>
            <w:tcW w:w="2337" w:type="dxa"/>
          </w:tcPr>
          <w:p w14:paraId="7DC28E47" w14:textId="3E12540E" w:rsidR="00EA7723" w:rsidRDefault="00EA7723" w:rsidP="003F00C1">
            <w:r>
              <w:t>Semi-Finalist</w:t>
            </w:r>
          </w:p>
        </w:tc>
        <w:tc>
          <w:tcPr>
            <w:tcW w:w="2337" w:type="dxa"/>
          </w:tcPr>
          <w:p w14:paraId="2BD93C8B" w14:textId="7CB49698" w:rsidR="00EA7723" w:rsidRDefault="00EA7723" w:rsidP="00557EBF">
            <w:pPr>
              <w:jc w:val="center"/>
            </w:pPr>
            <w:r>
              <w:t>33.75</w:t>
            </w:r>
          </w:p>
        </w:tc>
        <w:tc>
          <w:tcPr>
            <w:tcW w:w="2338" w:type="dxa"/>
          </w:tcPr>
          <w:p w14:paraId="47F478FC" w14:textId="63F6920F" w:rsidR="00EA7723" w:rsidRDefault="00EA7723" w:rsidP="00557EBF">
            <w:pPr>
              <w:jc w:val="center"/>
            </w:pPr>
            <w:r>
              <w:t>22.5</w:t>
            </w:r>
          </w:p>
        </w:tc>
        <w:tc>
          <w:tcPr>
            <w:tcW w:w="2338" w:type="dxa"/>
          </w:tcPr>
          <w:p w14:paraId="08D2493F" w14:textId="26C884B7" w:rsidR="00EA7723" w:rsidRDefault="00EA7723" w:rsidP="00557EBF">
            <w:pPr>
              <w:jc w:val="center"/>
            </w:pPr>
            <w:r>
              <w:t>15</w:t>
            </w:r>
          </w:p>
        </w:tc>
      </w:tr>
      <w:tr w:rsidR="00EA7723" w14:paraId="5CA497D8" w14:textId="77777777" w:rsidTr="00EA7723">
        <w:tc>
          <w:tcPr>
            <w:tcW w:w="2337" w:type="dxa"/>
          </w:tcPr>
          <w:p w14:paraId="5F0B2BA1" w14:textId="3A003476" w:rsidR="00EA7723" w:rsidRDefault="00EA7723" w:rsidP="003F00C1">
            <w:proofErr w:type="gramStart"/>
            <w:r>
              <w:t>Quarter-finalist</w:t>
            </w:r>
            <w:proofErr w:type="gramEnd"/>
          </w:p>
        </w:tc>
        <w:tc>
          <w:tcPr>
            <w:tcW w:w="2337" w:type="dxa"/>
          </w:tcPr>
          <w:p w14:paraId="4A95A444" w14:textId="2B70AD15" w:rsidR="00EA7723" w:rsidRDefault="00EA7723" w:rsidP="00557EBF">
            <w:pPr>
              <w:jc w:val="center"/>
            </w:pPr>
            <w:r>
              <w:t>N/A</w:t>
            </w:r>
          </w:p>
        </w:tc>
        <w:tc>
          <w:tcPr>
            <w:tcW w:w="2338" w:type="dxa"/>
          </w:tcPr>
          <w:p w14:paraId="69CBAA4E" w14:textId="516590B1" w:rsidR="00EA7723" w:rsidRDefault="00EA7723" w:rsidP="00557EBF">
            <w:pPr>
              <w:jc w:val="center"/>
            </w:pPr>
            <w:r>
              <w:t>N/A</w:t>
            </w:r>
          </w:p>
        </w:tc>
        <w:tc>
          <w:tcPr>
            <w:tcW w:w="2338" w:type="dxa"/>
          </w:tcPr>
          <w:p w14:paraId="455157DD" w14:textId="0C80BF54" w:rsidR="00EA7723" w:rsidRDefault="00EA7723" w:rsidP="00557EBF">
            <w:pPr>
              <w:jc w:val="center"/>
            </w:pPr>
            <w:r>
              <w:t>10.8</w:t>
            </w:r>
          </w:p>
        </w:tc>
      </w:tr>
      <w:tr w:rsidR="00EA7723" w14:paraId="6EAE20BC" w14:textId="77777777" w:rsidTr="00EA7723">
        <w:tc>
          <w:tcPr>
            <w:tcW w:w="2337" w:type="dxa"/>
          </w:tcPr>
          <w:p w14:paraId="31621C27" w14:textId="31CEB851" w:rsidR="00EA7723" w:rsidRDefault="00EA7723" w:rsidP="003F00C1">
            <w:r>
              <w:t>Per Win</w:t>
            </w:r>
          </w:p>
        </w:tc>
        <w:tc>
          <w:tcPr>
            <w:tcW w:w="2337" w:type="dxa"/>
          </w:tcPr>
          <w:p w14:paraId="1BDEC01D" w14:textId="12C869B8" w:rsidR="00EA7723" w:rsidRDefault="00130D39" w:rsidP="00557EBF">
            <w:pPr>
              <w:jc w:val="center"/>
            </w:pPr>
            <w:r>
              <w:t>4.5</w:t>
            </w:r>
          </w:p>
        </w:tc>
        <w:tc>
          <w:tcPr>
            <w:tcW w:w="2338" w:type="dxa"/>
          </w:tcPr>
          <w:p w14:paraId="4B7CD800" w14:textId="7FD69F5C" w:rsidR="00EA7723" w:rsidRDefault="00130D39" w:rsidP="00557EBF">
            <w:pPr>
              <w:jc w:val="center"/>
            </w:pPr>
            <w:r>
              <w:t>3</w:t>
            </w:r>
          </w:p>
        </w:tc>
        <w:tc>
          <w:tcPr>
            <w:tcW w:w="2338" w:type="dxa"/>
          </w:tcPr>
          <w:p w14:paraId="0F774C13" w14:textId="67AC97B6" w:rsidR="00EA7723" w:rsidRDefault="00130D39" w:rsidP="00557EBF">
            <w:pPr>
              <w:jc w:val="center"/>
            </w:pPr>
            <w:r>
              <w:t>2</w:t>
            </w:r>
          </w:p>
        </w:tc>
      </w:tr>
    </w:tbl>
    <w:p w14:paraId="3AAD2ABA" w14:textId="77777777" w:rsidR="00EA7723" w:rsidRDefault="00EA7723" w:rsidP="003F00C1"/>
    <w:p w14:paraId="614010AB" w14:textId="77777777" w:rsidR="009476F4" w:rsidRPr="00557EBF" w:rsidRDefault="009476F4" w:rsidP="009476F4">
      <w:pPr>
        <w:pStyle w:val="Default"/>
        <w:rPr>
          <w:rFonts w:ascii="Industry Inc Base" w:hAnsi="Industry Inc Base"/>
          <w:color w:val="163C49"/>
          <w:sz w:val="28"/>
          <w:szCs w:val="28"/>
        </w:rPr>
      </w:pPr>
      <w:r w:rsidRPr="00557EBF">
        <w:rPr>
          <w:rFonts w:ascii="Industry Inc Base" w:hAnsi="Industry Inc Base"/>
          <w:color w:val="163C49"/>
          <w:sz w:val="28"/>
          <w:szCs w:val="28"/>
        </w:rPr>
        <w:t xml:space="preserve">Placement Points </w:t>
      </w:r>
    </w:p>
    <w:p w14:paraId="0DFBCBB8" w14:textId="77777777" w:rsidR="00BA66D0" w:rsidRDefault="00BA66D0" w:rsidP="009476F4">
      <w:pPr>
        <w:pStyle w:val="Default"/>
        <w:rPr>
          <w:sz w:val="28"/>
          <w:szCs w:val="28"/>
        </w:rPr>
      </w:pPr>
    </w:p>
    <w:p w14:paraId="71CC6861" w14:textId="77777777" w:rsidR="009476F4" w:rsidRDefault="009476F4" w:rsidP="009476F4">
      <w:pPr>
        <w:pStyle w:val="Default"/>
        <w:rPr>
          <w:sz w:val="23"/>
          <w:szCs w:val="23"/>
        </w:rPr>
      </w:pPr>
      <w:r>
        <w:rPr>
          <w:sz w:val="23"/>
          <w:szCs w:val="23"/>
        </w:rPr>
        <w:t xml:space="preserve">In each event, placement points will be awarded to half of the teams entered in the event. We will use the following guidelines when determining how many teams receive placement points. These guidelines are subject to change. </w:t>
      </w:r>
    </w:p>
    <w:p w14:paraId="49CD3F88" w14:textId="5F4A106C" w:rsidR="009476F4" w:rsidRDefault="009476F4" w:rsidP="00EA7723">
      <w:pPr>
        <w:pStyle w:val="Default"/>
        <w:numPr>
          <w:ilvl w:val="0"/>
          <w:numId w:val="2"/>
        </w:numPr>
        <w:spacing w:after="36"/>
        <w:rPr>
          <w:sz w:val="23"/>
          <w:szCs w:val="23"/>
        </w:rPr>
      </w:pPr>
      <w:r>
        <w:rPr>
          <w:sz w:val="23"/>
          <w:szCs w:val="23"/>
        </w:rPr>
        <w:t xml:space="preserve">Number of teams receiving placement points will change based on the number of entries and number of qualifiers to the Championship Round </w:t>
      </w:r>
    </w:p>
    <w:p w14:paraId="61BC0FBA" w14:textId="69AF8F2B" w:rsidR="009476F4" w:rsidRPr="00557EBF" w:rsidRDefault="009476F4" w:rsidP="00557EBF">
      <w:pPr>
        <w:pStyle w:val="Default"/>
        <w:numPr>
          <w:ilvl w:val="0"/>
          <w:numId w:val="2"/>
        </w:numPr>
        <w:spacing w:after="36"/>
        <w:rPr>
          <w:sz w:val="23"/>
          <w:szCs w:val="23"/>
        </w:rPr>
      </w:pPr>
      <w:r>
        <w:rPr>
          <w:sz w:val="23"/>
          <w:szCs w:val="23"/>
        </w:rPr>
        <w:t>Teams who are not awarded placement points will be awarded points per win</w:t>
      </w:r>
      <w:r w:rsidR="00557EBF">
        <w:rPr>
          <w:sz w:val="23"/>
          <w:szCs w:val="23"/>
        </w:rPr>
        <w:t>, while</w:t>
      </w:r>
      <w:r>
        <w:rPr>
          <w:sz w:val="23"/>
          <w:szCs w:val="23"/>
        </w:rPr>
        <w:t xml:space="preserve"> </w:t>
      </w:r>
      <w:r w:rsidR="00557EBF">
        <w:rPr>
          <w:sz w:val="23"/>
          <w:szCs w:val="23"/>
        </w:rPr>
        <w:t>t</w:t>
      </w:r>
      <w:r w:rsidRPr="00557EBF">
        <w:rPr>
          <w:sz w:val="23"/>
          <w:szCs w:val="23"/>
        </w:rPr>
        <w:t xml:space="preserve">eams who are awarded placement points will not receive points per </w:t>
      </w:r>
      <w:proofErr w:type="gramStart"/>
      <w:r w:rsidRPr="00557EBF">
        <w:rPr>
          <w:sz w:val="23"/>
          <w:szCs w:val="23"/>
        </w:rPr>
        <w:t>win</w:t>
      </w:r>
      <w:proofErr w:type="gramEnd"/>
    </w:p>
    <w:p w14:paraId="347508DF" w14:textId="77777777" w:rsidR="009476F4" w:rsidRDefault="009476F4" w:rsidP="003F00C1"/>
    <w:p w14:paraId="4EF0FCA4" w14:textId="77777777" w:rsidR="00557EBF" w:rsidRDefault="00557EBF" w:rsidP="003F00C1"/>
    <w:p w14:paraId="6FC6484C" w14:textId="77777777" w:rsidR="00557EBF" w:rsidRDefault="00557EBF" w:rsidP="003F00C1"/>
    <w:p w14:paraId="6F683E1E" w14:textId="77777777" w:rsidR="00557EBF" w:rsidRDefault="00557EBF" w:rsidP="003F00C1"/>
    <w:p w14:paraId="197026BA" w14:textId="77777777" w:rsidR="00557EBF" w:rsidRDefault="00557EBF" w:rsidP="009476F4">
      <w:pPr>
        <w:pStyle w:val="Default"/>
        <w:rPr>
          <w:rFonts w:ascii="Industry Inc Base" w:hAnsi="Industry Inc Base"/>
          <w:color w:val="163C49"/>
          <w:sz w:val="28"/>
          <w:szCs w:val="28"/>
        </w:rPr>
      </w:pPr>
    </w:p>
    <w:p w14:paraId="3CD382A7" w14:textId="0F1450E5" w:rsidR="009476F4" w:rsidRPr="00557EBF" w:rsidRDefault="00250FB1" w:rsidP="009476F4">
      <w:pPr>
        <w:pStyle w:val="Default"/>
        <w:rPr>
          <w:rFonts w:ascii="Industry Inc Base" w:hAnsi="Industry Inc Base"/>
          <w:sz w:val="28"/>
          <w:szCs w:val="28"/>
        </w:rPr>
      </w:pPr>
      <w:r w:rsidRPr="00557EBF">
        <w:rPr>
          <w:rFonts w:ascii="Industry Inc Base" w:hAnsi="Industry Inc Base"/>
          <w:color w:val="163C49"/>
          <w:sz w:val="28"/>
          <w:szCs w:val="28"/>
        </w:rPr>
        <w:t>Event Restriction Guidelines</w:t>
      </w:r>
      <w:r w:rsidR="00BA66D0" w:rsidRPr="00557EBF">
        <w:rPr>
          <w:rFonts w:ascii="Industry Inc Base" w:hAnsi="Industry Inc Base"/>
          <w:color w:val="163C49"/>
          <w:sz w:val="28"/>
          <w:szCs w:val="28"/>
        </w:rPr>
        <w:t xml:space="preserve"> for Teams</w:t>
      </w:r>
      <w:r w:rsidRPr="00557EBF">
        <w:rPr>
          <w:rFonts w:ascii="Industry Inc Base" w:hAnsi="Industry Inc Base"/>
          <w:sz w:val="28"/>
          <w:szCs w:val="28"/>
        </w:rPr>
        <w:br/>
      </w:r>
    </w:p>
    <w:p w14:paraId="0310E9AA" w14:textId="749DE442" w:rsidR="00250FB1" w:rsidRDefault="00250FB1" w:rsidP="009476F4">
      <w:pPr>
        <w:pStyle w:val="Default"/>
        <w:rPr>
          <w:sz w:val="23"/>
          <w:szCs w:val="23"/>
        </w:rPr>
      </w:pPr>
      <w:r>
        <w:rPr>
          <w:sz w:val="23"/>
          <w:szCs w:val="23"/>
        </w:rPr>
        <w:t xml:space="preserve">To </w:t>
      </w:r>
      <w:r w:rsidR="00BA66D0">
        <w:rPr>
          <w:sz w:val="23"/>
          <w:szCs w:val="23"/>
        </w:rPr>
        <w:t xml:space="preserve">help teams manage their training-competition ratios at the </w:t>
      </w:r>
      <w:r w:rsidR="00557EBF">
        <w:rPr>
          <w:sz w:val="23"/>
          <w:szCs w:val="23"/>
        </w:rPr>
        <w:t>U-20, U-18, and U-15</w:t>
      </w:r>
      <w:r w:rsidR="00BA66D0">
        <w:rPr>
          <w:sz w:val="23"/>
          <w:szCs w:val="23"/>
        </w:rPr>
        <w:t xml:space="preserve"> levels, we are placing a cap on the number of ACT events a team may count in 2023-24.</w:t>
      </w:r>
    </w:p>
    <w:p w14:paraId="4F43D470" w14:textId="77777777" w:rsidR="00BA66D0" w:rsidRDefault="00BA66D0" w:rsidP="009476F4">
      <w:pPr>
        <w:pStyle w:val="Default"/>
        <w:rPr>
          <w:sz w:val="23"/>
          <w:szCs w:val="23"/>
        </w:rPr>
      </w:pPr>
    </w:p>
    <w:p w14:paraId="599359BC" w14:textId="7F266D2C" w:rsidR="00BA66D0" w:rsidRDefault="00BA66D0" w:rsidP="00BA66D0">
      <w:pPr>
        <w:pStyle w:val="Default"/>
        <w:numPr>
          <w:ilvl w:val="0"/>
          <w:numId w:val="5"/>
        </w:numPr>
        <w:rPr>
          <w:sz w:val="23"/>
          <w:szCs w:val="23"/>
        </w:rPr>
      </w:pPr>
      <w:r>
        <w:rPr>
          <w:sz w:val="23"/>
          <w:szCs w:val="23"/>
        </w:rPr>
        <w:t xml:space="preserve">Only a team’s top 5 results from Alberta Curling Tour events will be included in points calculations. These include Alberta Curling Tour events at any category. Results from Curling Alberta Provincial Championships will not count towards this </w:t>
      </w:r>
      <w:proofErr w:type="gramStart"/>
      <w:r>
        <w:rPr>
          <w:sz w:val="23"/>
          <w:szCs w:val="23"/>
        </w:rPr>
        <w:t>5 event</w:t>
      </w:r>
      <w:proofErr w:type="gramEnd"/>
      <w:r>
        <w:rPr>
          <w:sz w:val="23"/>
          <w:szCs w:val="23"/>
        </w:rPr>
        <w:t xml:space="preserve"> maximum and will still be included in a team’s point totals.</w:t>
      </w:r>
    </w:p>
    <w:p w14:paraId="787D03A6" w14:textId="77777777" w:rsidR="00BA66D0" w:rsidRDefault="00BA66D0" w:rsidP="00BA66D0">
      <w:pPr>
        <w:pStyle w:val="Default"/>
        <w:ind w:left="720"/>
        <w:rPr>
          <w:sz w:val="23"/>
          <w:szCs w:val="23"/>
        </w:rPr>
      </w:pPr>
      <w:r>
        <w:rPr>
          <w:b/>
          <w:bCs/>
          <w:sz w:val="23"/>
          <w:szCs w:val="23"/>
        </w:rPr>
        <w:t xml:space="preserve">Example 1: </w:t>
      </w:r>
      <w:r>
        <w:rPr>
          <w:sz w:val="23"/>
          <w:szCs w:val="23"/>
        </w:rPr>
        <w:t xml:space="preserve">A U20 team competes in five (5) AJCT events, U20 Qualifiers and U20 Provincials and has all seven (7) events included in their total points calculation. </w:t>
      </w:r>
    </w:p>
    <w:p w14:paraId="6F01DEDA" w14:textId="77777777" w:rsidR="00BA66D0" w:rsidRDefault="00BA66D0" w:rsidP="00BA66D0">
      <w:pPr>
        <w:pStyle w:val="Default"/>
        <w:ind w:left="720"/>
        <w:rPr>
          <w:sz w:val="23"/>
          <w:szCs w:val="23"/>
        </w:rPr>
      </w:pPr>
      <w:r>
        <w:rPr>
          <w:b/>
          <w:bCs/>
          <w:sz w:val="23"/>
          <w:szCs w:val="23"/>
        </w:rPr>
        <w:t xml:space="preserve">Example 2: </w:t>
      </w:r>
      <w:r>
        <w:rPr>
          <w:sz w:val="23"/>
          <w:szCs w:val="23"/>
        </w:rPr>
        <w:t xml:space="preserve">A U18 team competes in seven (7) AJCT events, U18 Qualifiers and U18 Provincials. Only their top 5 results from the AJCT events as well as their results in the Qualifiers and Provincials will be counted towards their total points calculation. </w:t>
      </w:r>
    </w:p>
    <w:p w14:paraId="40CDB615" w14:textId="77777777" w:rsidR="00BA66D0" w:rsidRDefault="00BA66D0" w:rsidP="00BA66D0">
      <w:pPr>
        <w:pStyle w:val="Default"/>
        <w:ind w:left="720"/>
        <w:rPr>
          <w:sz w:val="23"/>
          <w:szCs w:val="23"/>
        </w:rPr>
      </w:pPr>
    </w:p>
    <w:p w14:paraId="60AA6E1B" w14:textId="77777777" w:rsidR="00BA66D0" w:rsidRPr="00250FB1" w:rsidRDefault="00BA66D0" w:rsidP="00BA66D0">
      <w:pPr>
        <w:pStyle w:val="Default"/>
        <w:ind w:left="720"/>
        <w:rPr>
          <w:sz w:val="23"/>
          <w:szCs w:val="23"/>
        </w:rPr>
      </w:pPr>
    </w:p>
    <w:p w14:paraId="5DFE7569" w14:textId="7218DECB" w:rsidR="009476F4" w:rsidRPr="00557EBF" w:rsidRDefault="00130D39" w:rsidP="009476F4">
      <w:pPr>
        <w:pStyle w:val="Default"/>
        <w:rPr>
          <w:rFonts w:ascii="Industry Inc Base" w:hAnsi="Industry Inc Base"/>
          <w:color w:val="163C49"/>
          <w:sz w:val="28"/>
          <w:szCs w:val="28"/>
        </w:rPr>
      </w:pPr>
      <w:r w:rsidRPr="00557EBF">
        <w:rPr>
          <w:rFonts w:ascii="Industry Inc Base" w:hAnsi="Industry Inc Base"/>
          <w:color w:val="163C49"/>
          <w:sz w:val="28"/>
          <w:szCs w:val="28"/>
        </w:rPr>
        <w:t>Eligibility Guidelines</w:t>
      </w:r>
    </w:p>
    <w:p w14:paraId="6487BA26" w14:textId="77777777" w:rsidR="002377F2" w:rsidRDefault="002377F2" w:rsidP="002377F2">
      <w:pPr>
        <w:rPr>
          <w:sz w:val="23"/>
          <w:szCs w:val="23"/>
        </w:rPr>
      </w:pPr>
    </w:p>
    <w:p w14:paraId="0C96F8B5" w14:textId="744232EA" w:rsidR="009476F4" w:rsidRPr="002377F2" w:rsidRDefault="009476F4" w:rsidP="002377F2">
      <w:pPr>
        <w:pStyle w:val="ListParagraph"/>
        <w:numPr>
          <w:ilvl w:val="0"/>
          <w:numId w:val="4"/>
        </w:numPr>
        <w:rPr>
          <w:sz w:val="23"/>
          <w:szCs w:val="23"/>
        </w:rPr>
      </w:pPr>
      <w:r w:rsidRPr="002377F2">
        <w:rPr>
          <w:sz w:val="23"/>
          <w:szCs w:val="23"/>
        </w:rPr>
        <w:t>Teams are allowed to compete in AJCT events with substitute players. The substitution policies for Curling Alberta events can be found in their most recent Competitors Guide</w:t>
      </w:r>
      <w:r w:rsidR="002377F2">
        <w:rPr>
          <w:sz w:val="23"/>
          <w:szCs w:val="23"/>
        </w:rPr>
        <w:t xml:space="preserve"> (Insert competitor’s guide)</w:t>
      </w:r>
      <w:r w:rsidRPr="002377F2">
        <w:rPr>
          <w:sz w:val="23"/>
          <w:szCs w:val="23"/>
        </w:rPr>
        <w:t xml:space="preserve">. A team eligible for </w:t>
      </w:r>
      <w:r w:rsidR="002377F2" w:rsidRPr="002377F2">
        <w:rPr>
          <w:sz w:val="23"/>
          <w:szCs w:val="23"/>
        </w:rPr>
        <w:t>Alberta Curling Tour points</w:t>
      </w:r>
      <w:r w:rsidRPr="002377F2">
        <w:rPr>
          <w:sz w:val="23"/>
          <w:szCs w:val="23"/>
        </w:rPr>
        <w:t xml:space="preserve"> must </w:t>
      </w:r>
      <w:r w:rsidR="002377F2" w:rsidRPr="002377F2">
        <w:rPr>
          <w:sz w:val="23"/>
          <w:szCs w:val="23"/>
        </w:rPr>
        <w:t>maintain 3 of 4 original roster players on the ice, during every end of every game, to maintain ACT eligibility for the event. If two original roster players cannot play, a team may play with 3 players on the ice to maintain 2 of 3 original roster players. A team cannot compete with more than one substitute on the ice to maintain ACT eligibility.</w:t>
      </w:r>
    </w:p>
    <w:p w14:paraId="4CD937E1" w14:textId="77777777" w:rsidR="00130D39" w:rsidRDefault="00130D39" w:rsidP="009476F4">
      <w:pPr>
        <w:rPr>
          <w:sz w:val="23"/>
          <w:szCs w:val="23"/>
        </w:rPr>
      </w:pPr>
    </w:p>
    <w:p w14:paraId="238FE154" w14:textId="1402730E" w:rsidR="00130D39" w:rsidRPr="002377F2" w:rsidRDefault="00130D39" w:rsidP="002377F2">
      <w:pPr>
        <w:pStyle w:val="Default"/>
        <w:numPr>
          <w:ilvl w:val="0"/>
          <w:numId w:val="4"/>
        </w:numPr>
        <w:rPr>
          <w:sz w:val="23"/>
          <w:szCs w:val="23"/>
        </w:rPr>
      </w:pPr>
      <w:r w:rsidRPr="002377F2">
        <w:rPr>
          <w:sz w:val="23"/>
          <w:szCs w:val="23"/>
        </w:rPr>
        <w:t xml:space="preserve">Teams competing in a category must meet </w:t>
      </w:r>
      <w:r w:rsidR="00862215">
        <w:rPr>
          <w:sz w:val="23"/>
          <w:szCs w:val="23"/>
        </w:rPr>
        <w:t xml:space="preserve">age </w:t>
      </w:r>
      <w:r w:rsidRPr="002377F2">
        <w:rPr>
          <w:sz w:val="23"/>
          <w:szCs w:val="23"/>
        </w:rPr>
        <w:t xml:space="preserve">eligibility guidelines for the provincial championships in that category for every end of every game. </w:t>
      </w:r>
    </w:p>
    <w:p w14:paraId="398C2197" w14:textId="77777777" w:rsidR="00130D39" w:rsidRPr="002377F2" w:rsidRDefault="00130D39" w:rsidP="00130D39">
      <w:pPr>
        <w:pStyle w:val="Default"/>
        <w:rPr>
          <w:sz w:val="23"/>
          <w:szCs w:val="23"/>
        </w:rPr>
      </w:pPr>
    </w:p>
    <w:p w14:paraId="3F83EB36" w14:textId="24513F8E" w:rsidR="00130D39" w:rsidRPr="002377F2" w:rsidRDefault="00130D39" w:rsidP="002377F2">
      <w:pPr>
        <w:pStyle w:val="Default"/>
        <w:ind w:left="360"/>
        <w:rPr>
          <w:sz w:val="23"/>
          <w:szCs w:val="23"/>
        </w:rPr>
      </w:pPr>
      <w:proofErr w:type="gramStart"/>
      <w:r w:rsidRPr="002377F2">
        <w:rPr>
          <w:sz w:val="23"/>
          <w:szCs w:val="23"/>
        </w:rPr>
        <w:t>i.e.</w:t>
      </w:r>
      <w:proofErr w:type="gramEnd"/>
      <w:r w:rsidRPr="002377F2">
        <w:rPr>
          <w:sz w:val="23"/>
          <w:szCs w:val="23"/>
        </w:rPr>
        <w:t xml:space="preserve"> If a U20 team competes in a men’s/women’s event, and uses a substitute player that is ineligible for the U20 provincial championships, that team is not eligible for </w:t>
      </w:r>
      <w:r w:rsidR="00862215">
        <w:rPr>
          <w:sz w:val="23"/>
          <w:szCs w:val="23"/>
        </w:rPr>
        <w:t xml:space="preserve">U20 </w:t>
      </w:r>
      <w:r w:rsidRPr="002377F2">
        <w:rPr>
          <w:sz w:val="23"/>
          <w:szCs w:val="23"/>
        </w:rPr>
        <w:t>Alberta Curling Tour points for the event.</w:t>
      </w:r>
    </w:p>
    <w:p w14:paraId="23F9C193" w14:textId="77777777" w:rsidR="00130D39" w:rsidRPr="002377F2" w:rsidRDefault="00130D39" w:rsidP="009476F4">
      <w:pPr>
        <w:rPr>
          <w:sz w:val="23"/>
          <w:szCs w:val="23"/>
        </w:rPr>
      </w:pPr>
    </w:p>
    <w:p w14:paraId="1420C1CD" w14:textId="58BAD243" w:rsidR="00130D39" w:rsidRPr="002377F2" w:rsidRDefault="00130D39" w:rsidP="002377F2">
      <w:pPr>
        <w:ind w:left="360"/>
        <w:rPr>
          <w:sz w:val="23"/>
          <w:szCs w:val="23"/>
        </w:rPr>
      </w:pPr>
      <w:r w:rsidRPr="002377F2">
        <w:rPr>
          <w:sz w:val="23"/>
          <w:szCs w:val="23"/>
        </w:rPr>
        <w:t xml:space="preserve">If a team is ineligible to earn points in a particular category, please bring it to the attention of </w:t>
      </w:r>
      <w:r w:rsidR="002377F2" w:rsidRPr="002377F2">
        <w:rPr>
          <w:sz w:val="23"/>
          <w:szCs w:val="23"/>
        </w:rPr>
        <w:t xml:space="preserve">the coach of the team in question, </w:t>
      </w:r>
      <w:r w:rsidR="002377F2">
        <w:rPr>
          <w:sz w:val="23"/>
          <w:szCs w:val="23"/>
        </w:rPr>
        <w:t xml:space="preserve">the event organizer, </w:t>
      </w:r>
      <w:r w:rsidR="002377F2" w:rsidRPr="002377F2">
        <w:rPr>
          <w:sz w:val="23"/>
          <w:szCs w:val="23"/>
        </w:rPr>
        <w:t xml:space="preserve">and </w:t>
      </w:r>
      <w:r w:rsidR="002377F2">
        <w:rPr>
          <w:sz w:val="23"/>
          <w:szCs w:val="23"/>
        </w:rPr>
        <w:t xml:space="preserve">the </w:t>
      </w:r>
      <w:r w:rsidR="002377F2" w:rsidRPr="002377F2">
        <w:rPr>
          <w:sz w:val="23"/>
          <w:szCs w:val="23"/>
        </w:rPr>
        <w:t>Alberta Curling Tour contact, Jason Ginter.</w:t>
      </w:r>
    </w:p>
    <w:sectPr w:rsidR="00130D39" w:rsidRPr="002377F2" w:rsidSect="001C30B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FD1D" w14:textId="77777777" w:rsidR="00FE718D" w:rsidRDefault="00FE718D" w:rsidP="00A56FA7">
      <w:r>
        <w:separator/>
      </w:r>
    </w:p>
  </w:endnote>
  <w:endnote w:type="continuationSeparator" w:id="0">
    <w:p w14:paraId="0D30364D" w14:textId="77777777" w:rsidR="00FE718D" w:rsidRDefault="00FE718D" w:rsidP="00A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dustry Inc Base">
    <w:panose1 w:val="000005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3DB2" w14:textId="77777777" w:rsidR="00FE718D" w:rsidRDefault="00FE718D" w:rsidP="00A56FA7">
      <w:r>
        <w:separator/>
      </w:r>
    </w:p>
  </w:footnote>
  <w:footnote w:type="continuationSeparator" w:id="0">
    <w:p w14:paraId="2019CF74" w14:textId="77777777" w:rsidR="00FE718D" w:rsidRDefault="00FE718D" w:rsidP="00A5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ABB3" w14:textId="6D0FE92D" w:rsidR="00A56FA7" w:rsidRDefault="00A56FA7" w:rsidP="00A56FA7">
    <w:pPr>
      <w:pStyle w:val="Header"/>
      <w:tabs>
        <w:tab w:val="clear" w:pos="4680"/>
      </w:tabs>
    </w:pPr>
    <w:r>
      <w:rPr>
        <w:noProof/>
      </w:rPr>
      <w:drawing>
        <wp:inline distT="0" distB="0" distL="0" distR="0" wp14:anchorId="7C47C36D" wp14:editId="729EAEB5">
          <wp:extent cx="1526117" cy="711200"/>
          <wp:effectExtent l="0" t="0" r="0" b="0"/>
          <wp:docPr id="1504592891"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92891" name="Picture 1" descr="A yellow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010" cy="714412"/>
                  </a:xfrm>
                  <a:prstGeom prst="rect">
                    <a:avLst/>
                  </a:prstGeom>
                  <a:noFill/>
                  <a:ln>
                    <a:noFill/>
                  </a:ln>
                </pic:spPr>
              </pic:pic>
            </a:graphicData>
          </a:graphic>
        </wp:inline>
      </w:drawing>
    </w:r>
    <w:r>
      <w:tab/>
    </w:r>
    <w:r>
      <w:rPr>
        <w:noProof/>
      </w:rPr>
      <w:drawing>
        <wp:inline distT="0" distB="0" distL="0" distR="0" wp14:anchorId="16714728" wp14:editId="12C37AE9">
          <wp:extent cx="711200" cy="711200"/>
          <wp:effectExtent l="0" t="0" r="0" b="0"/>
          <wp:docPr id="1685971550" name="Picture 2" descr="A logo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971550" name="Picture 2" descr="A logo of a ca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46C"/>
    <w:multiLevelType w:val="hybridMultilevel"/>
    <w:tmpl w:val="A1861172"/>
    <w:lvl w:ilvl="0" w:tplc="82DEE6B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74402"/>
    <w:multiLevelType w:val="hybridMultilevel"/>
    <w:tmpl w:val="F472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5CB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A85A85"/>
    <w:multiLevelType w:val="hybridMultilevel"/>
    <w:tmpl w:val="B76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4D85"/>
    <w:multiLevelType w:val="hybridMultilevel"/>
    <w:tmpl w:val="2456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79022">
    <w:abstractNumId w:val="2"/>
  </w:num>
  <w:num w:numId="2" w16cid:durableId="542408497">
    <w:abstractNumId w:val="0"/>
  </w:num>
  <w:num w:numId="3" w16cid:durableId="550655769">
    <w:abstractNumId w:val="4"/>
  </w:num>
  <w:num w:numId="4" w16cid:durableId="1967159053">
    <w:abstractNumId w:val="1"/>
  </w:num>
  <w:num w:numId="5" w16cid:durableId="496699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C1"/>
    <w:rsid w:val="000C0956"/>
    <w:rsid w:val="00130D39"/>
    <w:rsid w:val="001C30BB"/>
    <w:rsid w:val="002377F2"/>
    <w:rsid w:val="00250FB1"/>
    <w:rsid w:val="003658A2"/>
    <w:rsid w:val="003B18A0"/>
    <w:rsid w:val="003F00C1"/>
    <w:rsid w:val="004E490C"/>
    <w:rsid w:val="00504645"/>
    <w:rsid w:val="00557EBF"/>
    <w:rsid w:val="005674E0"/>
    <w:rsid w:val="006F492A"/>
    <w:rsid w:val="00702211"/>
    <w:rsid w:val="007709EC"/>
    <w:rsid w:val="00862215"/>
    <w:rsid w:val="009476F4"/>
    <w:rsid w:val="009A68DD"/>
    <w:rsid w:val="00A56FA7"/>
    <w:rsid w:val="00B56ADD"/>
    <w:rsid w:val="00BA66D0"/>
    <w:rsid w:val="00CB3C98"/>
    <w:rsid w:val="00E30288"/>
    <w:rsid w:val="00E91A25"/>
    <w:rsid w:val="00EA7723"/>
    <w:rsid w:val="00FB3608"/>
    <w:rsid w:val="00F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71EA"/>
  <w14:defaultImageDpi w14:val="32767"/>
  <w15:chartTrackingRefBased/>
  <w15:docId w15:val="{BD42A61F-4F14-0943-9BFC-6CD095C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0C1"/>
    <w:pPr>
      <w:autoSpaceDE w:val="0"/>
      <w:autoSpaceDN w:val="0"/>
      <w:adjustRightInd w:val="0"/>
    </w:pPr>
    <w:rPr>
      <w:rFonts w:ascii="Calibri" w:hAnsi="Calibri" w:cs="Calibri"/>
      <w:color w:val="000000"/>
    </w:rPr>
  </w:style>
  <w:style w:type="table" w:styleId="TableGrid">
    <w:name w:val="Table Grid"/>
    <w:basedOn w:val="TableNormal"/>
    <w:uiPriority w:val="39"/>
    <w:rsid w:val="00EA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7F2"/>
    <w:pPr>
      <w:ind w:left="720"/>
      <w:contextualSpacing/>
    </w:pPr>
  </w:style>
  <w:style w:type="paragraph" w:styleId="Header">
    <w:name w:val="header"/>
    <w:basedOn w:val="Normal"/>
    <w:link w:val="HeaderChar"/>
    <w:uiPriority w:val="99"/>
    <w:unhideWhenUsed/>
    <w:rsid w:val="00A56FA7"/>
    <w:pPr>
      <w:tabs>
        <w:tab w:val="center" w:pos="4680"/>
        <w:tab w:val="right" w:pos="9360"/>
      </w:tabs>
    </w:pPr>
  </w:style>
  <w:style w:type="character" w:customStyle="1" w:styleId="HeaderChar">
    <w:name w:val="Header Char"/>
    <w:basedOn w:val="DefaultParagraphFont"/>
    <w:link w:val="Header"/>
    <w:uiPriority w:val="99"/>
    <w:rsid w:val="00A56FA7"/>
  </w:style>
  <w:style w:type="paragraph" w:styleId="Footer">
    <w:name w:val="footer"/>
    <w:basedOn w:val="Normal"/>
    <w:link w:val="FooterChar"/>
    <w:uiPriority w:val="99"/>
    <w:unhideWhenUsed/>
    <w:rsid w:val="00A56FA7"/>
    <w:pPr>
      <w:tabs>
        <w:tab w:val="center" w:pos="4680"/>
        <w:tab w:val="right" w:pos="9360"/>
      </w:tabs>
    </w:pPr>
  </w:style>
  <w:style w:type="character" w:customStyle="1" w:styleId="FooterChar">
    <w:name w:val="Footer Char"/>
    <w:basedOn w:val="DefaultParagraphFont"/>
    <w:link w:val="Footer"/>
    <w:uiPriority w:val="99"/>
    <w:rsid w:val="00A56FA7"/>
  </w:style>
  <w:style w:type="character" w:styleId="Hyperlink">
    <w:name w:val="Hyperlink"/>
    <w:basedOn w:val="DefaultParagraphFont"/>
    <w:uiPriority w:val="99"/>
    <w:unhideWhenUsed/>
    <w:rsid w:val="00CB3C98"/>
    <w:rPr>
      <w:color w:val="0563C1" w:themeColor="hyperlink"/>
      <w:u w:val="single"/>
    </w:rPr>
  </w:style>
  <w:style w:type="character" w:styleId="UnresolvedMention">
    <w:name w:val="Unresolved Mention"/>
    <w:basedOn w:val="DefaultParagraphFont"/>
    <w:uiPriority w:val="99"/>
    <w:rsid w:val="00CB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curling.io/en/products/6917-alberta-curling-tour-team-registration-u20-u18-u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Ginter</dc:creator>
  <cp:keywords/>
  <dc:description/>
  <cp:lastModifiedBy>Jason Ginter</cp:lastModifiedBy>
  <cp:revision>3</cp:revision>
  <dcterms:created xsi:type="dcterms:W3CDTF">2023-09-22T20:56:00Z</dcterms:created>
  <dcterms:modified xsi:type="dcterms:W3CDTF">2023-09-22T20:57:00Z</dcterms:modified>
</cp:coreProperties>
</file>